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119B" w14:textId="77777777" w:rsidR="00CB765F" w:rsidRPr="0017484A" w:rsidRDefault="00CB765F" w:rsidP="00CB765F">
      <w:pPr>
        <w:spacing w:after="240"/>
        <w:jc w:val="center"/>
        <w:rPr>
          <w:rFonts w:ascii="Gotham Pro" w:hAnsi="Gotham Pro" w:cs="Gotham Pro"/>
          <w:b/>
          <w:bCs/>
          <w:sz w:val="44"/>
          <w:szCs w:val="44"/>
        </w:rPr>
      </w:pPr>
      <w:r w:rsidRPr="0017484A">
        <w:rPr>
          <w:rFonts w:ascii="Gotham Pro" w:hAnsi="Gotham Pro" w:cs="Gotham Pro"/>
          <w:b/>
          <w:bCs/>
          <w:sz w:val="44"/>
          <w:szCs w:val="44"/>
        </w:rPr>
        <w:t>БЮЛЕТЕНЬ</w:t>
      </w:r>
    </w:p>
    <w:p w14:paraId="2A6013D1" w14:textId="77777777" w:rsidR="00CB765F" w:rsidRPr="0017484A" w:rsidRDefault="00CB765F" w:rsidP="00CB765F">
      <w:pPr>
        <w:spacing w:line="360" w:lineRule="auto"/>
        <w:jc w:val="center"/>
        <w:rPr>
          <w:rFonts w:ascii="Gotham Pro" w:hAnsi="Gotham Pro" w:cs="Gotham Pro"/>
          <w:bCs/>
          <w:szCs w:val="24"/>
        </w:rPr>
      </w:pPr>
      <w:r w:rsidRPr="0017484A">
        <w:rPr>
          <w:rFonts w:ascii="Gotham Pro" w:hAnsi="Gotham Pro" w:cs="Gotham Pro"/>
          <w:bCs/>
          <w:szCs w:val="24"/>
        </w:rPr>
        <w:t>для голосування (крім бюлетеня для кумулятивного голосування) на дистанційних річних Загальних зборах акціонерів</w:t>
      </w:r>
    </w:p>
    <w:p w14:paraId="42E50EB8" w14:textId="77777777" w:rsidR="00CB765F" w:rsidRPr="0017484A" w:rsidRDefault="00CB765F" w:rsidP="00CB765F">
      <w:pPr>
        <w:pStyle w:val="Body"/>
        <w:numPr>
          <w:ilvl w:val="0"/>
          <w:numId w:val="2"/>
        </w:numPr>
        <w:spacing w:before="0" w:after="0" w:line="360" w:lineRule="auto"/>
        <w:jc w:val="center"/>
        <w:rPr>
          <w:rFonts w:ascii="Gotham Pro" w:hAnsi="Gotham Pro" w:cs="Gotham Pro"/>
          <w:b/>
          <w:sz w:val="32"/>
          <w:szCs w:val="32"/>
          <w:lang w:val="uk-UA"/>
        </w:rPr>
      </w:pPr>
      <w:bookmarkStart w:id="0" w:name="_Hlk499233860"/>
      <w:r w:rsidRPr="0017484A">
        <w:rPr>
          <w:rFonts w:ascii="Gotham Pro" w:hAnsi="Gotham Pro" w:cs="Gotham Pro"/>
          <w:b/>
          <w:sz w:val="32"/>
          <w:szCs w:val="32"/>
          <w:lang w:val="uk-UA"/>
        </w:rPr>
        <w:t>ПРИВАТНОГО АКЦІОНЕРНОГО ТОВАРИСТВА "</w:t>
      </w:r>
      <w:r>
        <w:rPr>
          <w:rFonts w:ascii="Gotham Pro" w:hAnsi="Gotham Pro" w:cs="Gotham Pro"/>
          <w:b/>
          <w:sz w:val="32"/>
          <w:szCs w:val="32"/>
          <w:lang w:val="uk-UA"/>
        </w:rPr>
        <w:t>КОМПАНІЯ З УПРАВЛІННЯ АКТИВАМИ АДМІНІСТРАТОР ПЕНСІЙНОГО ФОНДУ «БРОКБІЗНЕСІНВЕСТ»</w:t>
      </w:r>
      <w:r w:rsidRPr="0017484A">
        <w:rPr>
          <w:rFonts w:ascii="Gotham Pro" w:hAnsi="Gotham Pro" w:cs="Gotham Pro"/>
          <w:b/>
          <w:sz w:val="32"/>
          <w:szCs w:val="32"/>
          <w:lang w:val="uk-UA"/>
        </w:rPr>
        <w:t xml:space="preserve"> </w:t>
      </w:r>
    </w:p>
    <w:p w14:paraId="687281DB" w14:textId="77777777" w:rsidR="00CB765F" w:rsidRPr="0017484A" w:rsidRDefault="00CB765F" w:rsidP="00CB765F">
      <w:pPr>
        <w:pStyle w:val="Body"/>
        <w:numPr>
          <w:ilvl w:val="0"/>
          <w:numId w:val="2"/>
        </w:numPr>
        <w:spacing w:before="0" w:after="0" w:line="360" w:lineRule="auto"/>
        <w:jc w:val="center"/>
        <w:rPr>
          <w:rFonts w:ascii="Gotham Pro" w:hAnsi="Gotham Pro" w:cs="Gotham Pro"/>
          <w:bCs/>
          <w:szCs w:val="20"/>
          <w:lang w:val="uk-UA"/>
        </w:rPr>
      </w:pPr>
      <w:r w:rsidRPr="0017484A">
        <w:rPr>
          <w:rFonts w:ascii="Gotham Pro" w:hAnsi="Gotham Pro" w:cs="Gotham Pro"/>
          <w:bCs/>
          <w:szCs w:val="20"/>
          <w:lang w:val="uk-UA"/>
        </w:rPr>
        <w:t xml:space="preserve">(ідентифікаційний код юридичної особи: </w:t>
      </w:r>
      <w:bookmarkEnd w:id="0"/>
      <w:r>
        <w:rPr>
          <w:rFonts w:ascii="Gotham Pro" w:hAnsi="Gotham Pro" w:cs="Gotham Pro"/>
          <w:szCs w:val="20"/>
          <w:lang w:val="uk-UA"/>
        </w:rPr>
        <w:t>22968535</w:t>
      </w:r>
      <w:r w:rsidRPr="0017484A">
        <w:rPr>
          <w:rFonts w:ascii="Gotham Pro" w:hAnsi="Gotham Pro" w:cs="Gotham Pro"/>
          <w:bCs/>
          <w:szCs w:val="20"/>
          <w:lang w:val="uk-UA"/>
        </w:rPr>
        <w:t xml:space="preserve">, </w:t>
      </w:r>
    </w:p>
    <w:p w14:paraId="0BECA6AC" w14:textId="41E18F4D" w:rsidR="00CB765F" w:rsidRPr="0017484A" w:rsidRDefault="00CB765F" w:rsidP="00CB765F">
      <w:pPr>
        <w:pStyle w:val="Body"/>
        <w:numPr>
          <w:ilvl w:val="0"/>
          <w:numId w:val="2"/>
        </w:numPr>
        <w:spacing w:before="0" w:after="0" w:line="360" w:lineRule="auto"/>
        <w:jc w:val="center"/>
        <w:rPr>
          <w:rFonts w:ascii="Gotham Pro" w:hAnsi="Gotham Pro" w:cs="Gotham Pro"/>
          <w:bCs/>
          <w:szCs w:val="20"/>
          <w:lang w:val="uk-UA"/>
        </w:rPr>
      </w:pPr>
      <w:r w:rsidRPr="0017484A">
        <w:rPr>
          <w:rFonts w:ascii="Gotham Pro" w:hAnsi="Gotham Pro" w:cs="Gotham Pro"/>
          <w:bCs/>
          <w:szCs w:val="20"/>
          <w:lang w:val="uk-UA"/>
        </w:rPr>
        <w:t xml:space="preserve">місцезнаходження: Україна, </w:t>
      </w:r>
      <w:r>
        <w:rPr>
          <w:rFonts w:ascii="Gotham Pro" w:hAnsi="Gotham Pro" w:cs="Gotham Pro"/>
          <w:bCs/>
          <w:szCs w:val="20"/>
          <w:lang w:val="uk-UA"/>
        </w:rPr>
        <w:t>01135, м. Київ, вул. Дмитрівська, буд. 75</w:t>
      </w:r>
      <w:r w:rsidR="008E2E45">
        <w:rPr>
          <w:rFonts w:ascii="Gotham Pro" w:hAnsi="Gotham Pro" w:cs="Gotham Pro"/>
          <w:bCs/>
          <w:szCs w:val="20"/>
          <w:lang w:val="uk-UA"/>
        </w:rPr>
        <w:t>,</w:t>
      </w:r>
      <w:r>
        <w:rPr>
          <w:rFonts w:ascii="Gotham Pro" w:hAnsi="Gotham Pro" w:cs="Gotham Pro"/>
          <w:bCs/>
          <w:szCs w:val="20"/>
          <w:lang w:val="uk-UA"/>
        </w:rPr>
        <w:t xml:space="preserve"> оф</w:t>
      </w:r>
      <w:r w:rsidR="008E2E45">
        <w:rPr>
          <w:rFonts w:ascii="Gotham Pro" w:hAnsi="Gotham Pro" w:cs="Gotham Pro"/>
          <w:bCs/>
          <w:szCs w:val="20"/>
          <w:lang w:val="uk-UA"/>
        </w:rPr>
        <w:t xml:space="preserve">іс </w:t>
      </w:r>
      <w:r>
        <w:rPr>
          <w:rFonts w:ascii="Gotham Pro" w:hAnsi="Gotham Pro" w:cs="Gotham Pro"/>
          <w:bCs/>
          <w:szCs w:val="20"/>
          <w:lang w:val="uk-UA"/>
        </w:rPr>
        <w:t>155</w:t>
      </w:r>
      <w:r w:rsidRPr="0017484A">
        <w:rPr>
          <w:rFonts w:ascii="Gotham Pro" w:hAnsi="Gotham Pro" w:cs="Gotham Pro"/>
          <w:bCs/>
          <w:szCs w:val="20"/>
          <w:lang w:val="uk-UA"/>
        </w:rPr>
        <w:t xml:space="preserve">) </w:t>
      </w:r>
    </w:p>
    <w:p w14:paraId="10C2CE7B" w14:textId="77777777" w:rsidR="00CB765F" w:rsidRPr="0017484A" w:rsidRDefault="00CB765F" w:rsidP="00CB765F">
      <w:pPr>
        <w:pStyle w:val="Body"/>
        <w:numPr>
          <w:ilvl w:val="0"/>
          <w:numId w:val="2"/>
        </w:numPr>
        <w:spacing w:before="0" w:line="240" w:lineRule="auto"/>
        <w:jc w:val="center"/>
        <w:rPr>
          <w:rFonts w:ascii="Gotham Pro" w:hAnsi="Gotham Pro" w:cs="Gotham Pro"/>
          <w:bCs/>
          <w:szCs w:val="20"/>
          <w:lang w:val="uk-UA"/>
        </w:rPr>
      </w:pPr>
      <w:r w:rsidRPr="0017484A">
        <w:rPr>
          <w:rFonts w:ascii="Gotham Pro" w:hAnsi="Gotham Pro" w:cs="Gotham Pro"/>
          <w:bCs/>
          <w:szCs w:val="20"/>
          <w:lang w:val="uk-UA"/>
        </w:rPr>
        <w:t>(надалі – Товариство)</w:t>
      </w:r>
    </w:p>
    <w:p w14:paraId="1C780ECA" w14:textId="77777777" w:rsidR="00CB765F" w:rsidRPr="0017484A" w:rsidRDefault="00CB765F" w:rsidP="00CB765F">
      <w:pPr>
        <w:pStyle w:val="Body"/>
        <w:numPr>
          <w:ilvl w:val="0"/>
          <w:numId w:val="0"/>
        </w:numPr>
        <w:spacing w:before="0" w:after="0" w:line="240" w:lineRule="auto"/>
        <w:rPr>
          <w:rFonts w:ascii="Gotham Pro" w:hAnsi="Gotham Pro" w:cs="Gotham Pro"/>
          <w:b/>
          <w:szCs w:val="20"/>
          <w:lang w:val="uk-UA"/>
        </w:rPr>
      </w:pPr>
      <w:r w:rsidRPr="0017484A">
        <w:rPr>
          <w:rFonts w:ascii="Gotham Pro" w:hAnsi="Gotham Pro" w:cs="Gotham Pro"/>
          <w:bCs/>
          <w:szCs w:val="20"/>
          <w:lang w:val="uk-UA"/>
        </w:rPr>
        <w:t xml:space="preserve">Дата проведення дистанційних річних загальних зборів акціонерів Товариства: </w:t>
      </w:r>
      <w:r w:rsidRPr="0017484A">
        <w:rPr>
          <w:rFonts w:ascii="Gotham Pro" w:hAnsi="Gotham Pro" w:cs="Gotham Pro"/>
          <w:b/>
          <w:szCs w:val="20"/>
          <w:lang w:val="uk-UA"/>
        </w:rPr>
        <w:t>«</w:t>
      </w:r>
      <w:r>
        <w:rPr>
          <w:rFonts w:ascii="Gotham Pro" w:hAnsi="Gotham Pro" w:cs="Gotham Pro"/>
          <w:b/>
          <w:szCs w:val="20"/>
          <w:lang w:val="uk-UA"/>
        </w:rPr>
        <w:t>10</w:t>
      </w:r>
      <w:r w:rsidRPr="0017484A">
        <w:rPr>
          <w:rFonts w:ascii="Gotham Pro" w:hAnsi="Gotham Pro" w:cs="Gotham Pro"/>
          <w:b/>
          <w:szCs w:val="20"/>
          <w:lang w:val="uk-UA"/>
        </w:rPr>
        <w:t xml:space="preserve">» </w:t>
      </w:r>
      <w:r>
        <w:rPr>
          <w:rFonts w:ascii="Gotham Pro" w:hAnsi="Gotham Pro" w:cs="Gotham Pro"/>
          <w:b/>
          <w:szCs w:val="20"/>
          <w:lang w:val="uk-UA"/>
        </w:rPr>
        <w:t xml:space="preserve">квітня </w:t>
      </w:r>
      <w:r w:rsidRPr="0017484A">
        <w:rPr>
          <w:rFonts w:ascii="Gotham Pro" w:hAnsi="Gotham Pro" w:cs="Gotham Pro"/>
          <w:b/>
          <w:szCs w:val="20"/>
          <w:lang w:val="uk-UA"/>
        </w:rPr>
        <w:t>202</w:t>
      </w:r>
      <w:r>
        <w:rPr>
          <w:rFonts w:ascii="Gotham Pro" w:hAnsi="Gotham Pro" w:cs="Gotham Pro"/>
          <w:b/>
          <w:szCs w:val="20"/>
          <w:lang w:val="uk-UA"/>
        </w:rPr>
        <w:t>6</w:t>
      </w:r>
      <w:r w:rsidRPr="0017484A">
        <w:rPr>
          <w:rFonts w:ascii="Gotham Pro" w:hAnsi="Gotham Pro" w:cs="Gotham Pro"/>
          <w:b/>
          <w:szCs w:val="20"/>
          <w:lang w:val="uk-UA"/>
        </w:rPr>
        <w:t xml:space="preserve"> року</w:t>
      </w:r>
      <w:r>
        <w:rPr>
          <w:rFonts w:ascii="Gotham Pro" w:hAnsi="Gotham Pro" w:cs="Gotham Pro"/>
          <w:b/>
          <w:szCs w:val="20"/>
          <w:lang w:val="uk-UA"/>
        </w:rPr>
        <w:t>.</w:t>
      </w:r>
    </w:p>
    <w:p w14:paraId="44DC2783" w14:textId="77777777" w:rsidR="00CB765F" w:rsidRPr="0017484A" w:rsidRDefault="00CB765F" w:rsidP="00CB765F">
      <w:pPr>
        <w:pStyle w:val="Body"/>
        <w:numPr>
          <w:ilvl w:val="0"/>
          <w:numId w:val="0"/>
        </w:numPr>
        <w:spacing w:before="0" w:after="0" w:line="240" w:lineRule="auto"/>
        <w:rPr>
          <w:rFonts w:ascii="Gotham Pro" w:hAnsi="Gotham Pro" w:cs="Gotham Pro"/>
          <w:b/>
          <w:szCs w:val="20"/>
          <w:lang w:val="uk-UA"/>
        </w:rPr>
      </w:pPr>
    </w:p>
    <w:p w14:paraId="4CE4950C" w14:textId="77777777" w:rsidR="00CB765F" w:rsidRPr="0017484A" w:rsidRDefault="00CB765F" w:rsidP="00CB765F">
      <w:pPr>
        <w:rPr>
          <w:rFonts w:ascii="Gotham Pro" w:hAnsi="Gotham Pro" w:cs="Gotham Pro"/>
          <w:sz w:val="20"/>
        </w:rPr>
      </w:pPr>
      <w:r w:rsidRPr="0017484A">
        <w:rPr>
          <w:rFonts w:ascii="Gotham Pro" w:hAnsi="Gotham Pro" w:cs="Gotham Pro"/>
          <w:b/>
          <w:bCs/>
          <w:sz w:val="20"/>
        </w:rPr>
        <w:t xml:space="preserve">Дата і час початку голосування </w:t>
      </w:r>
      <w:r w:rsidRPr="0017484A">
        <w:rPr>
          <w:rFonts w:ascii="Gotham Pro" w:hAnsi="Gotham Pro" w:cs="Gotham Pro"/>
          <w:sz w:val="20"/>
        </w:rPr>
        <w:t xml:space="preserve">– </w:t>
      </w:r>
      <w:r w:rsidRPr="0017484A">
        <w:rPr>
          <w:rFonts w:ascii="Gotham Pro" w:hAnsi="Gotham Pro" w:cs="Gotham Pro"/>
          <w:sz w:val="20"/>
          <w:u w:val="single"/>
        </w:rPr>
        <w:t xml:space="preserve">з </w:t>
      </w:r>
      <w:r>
        <w:rPr>
          <w:rFonts w:ascii="Gotham Pro" w:hAnsi="Gotham Pro" w:cs="Gotham Pro"/>
          <w:sz w:val="20"/>
          <w:u w:val="single"/>
        </w:rPr>
        <w:t>11</w:t>
      </w:r>
      <w:r w:rsidRPr="0017484A">
        <w:rPr>
          <w:rFonts w:ascii="Gotham Pro" w:hAnsi="Gotham Pro" w:cs="Gotham Pro"/>
          <w:sz w:val="20"/>
          <w:u w:val="single"/>
        </w:rPr>
        <w:t xml:space="preserve"> години 00 хвилин</w:t>
      </w:r>
      <w:r w:rsidRPr="0017484A">
        <w:rPr>
          <w:rFonts w:ascii="Gotham Pro" w:hAnsi="Gotham Pro" w:cs="Gotham Pro"/>
          <w:sz w:val="20"/>
        </w:rPr>
        <w:t>:</w:t>
      </w:r>
      <w:r w:rsidRPr="0017484A">
        <w:rPr>
          <w:rFonts w:ascii="Gotham Pro" w:hAnsi="Gotham Pro" w:cs="Gotham Pro"/>
          <w:b/>
          <w:bCs/>
          <w:sz w:val="20"/>
        </w:rPr>
        <w:t> «</w:t>
      </w:r>
      <w:r>
        <w:rPr>
          <w:rFonts w:ascii="Gotham Pro" w:hAnsi="Gotham Pro" w:cs="Gotham Pro"/>
          <w:b/>
          <w:bCs/>
          <w:sz w:val="20"/>
        </w:rPr>
        <w:t>31</w:t>
      </w:r>
      <w:r w:rsidRPr="0017484A">
        <w:rPr>
          <w:rFonts w:ascii="Gotham Pro" w:hAnsi="Gotham Pro" w:cs="Gotham Pro"/>
          <w:b/>
          <w:bCs/>
          <w:sz w:val="20"/>
        </w:rPr>
        <w:t xml:space="preserve">» </w:t>
      </w:r>
      <w:r>
        <w:rPr>
          <w:rFonts w:ascii="Gotham Pro" w:hAnsi="Gotham Pro" w:cs="Gotham Pro"/>
          <w:b/>
          <w:bCs/>
          <w:sz w:val="20"/>
        </w:rPr>
        <w:t xml:space="preserve">березня </w:t>
      </w:r>
      <w:r w:rsidRPr="0017484A">
        <w:rPr>
          <w:rFonts w:ascii="Gotham Pro" w:hAnsi="Gotham Pro" w:cs="Gotham Pro"/>
          <w:b/>
          <w:bCs/>
          <w:sz w:val="20"/>
        </w:rPr>
        <w:t>202</w:t>
      </w:r>
      <w:r>
        <w:rPr>
          <w:rFonts w:ascii="Gotham Pro" w:hAnsi="Gotham Pro" w:cs="Gotham Pro"/>
          <w:b/>
          <w:bCs/>
          <w:sz w:val="20"/>
        </w:rPr>
        <w:t>6</w:t>
      </w:r>
      <w:r w:rsidRPr="0017484A">
        <w:rPr>
          <w:rFonts w:ascii="Gotham Pro" w:hAnsi="Gotham Pro" w:cs="Gotham Pro"/>
          <w:b/>
          <w:bCs/>
          <w:sz w:val="20"/>
        </w:rPr>
        <w:t xml:space="preserve"> року.</w:t>
      </w:r>
    </w:p>
    <w:p w14:paraId="7836B9A2" w14:textId="77777777" w:rsidR="00CB765F" w:rsidRPr="0017484A" w:rsidRDefault="00CB765F" w:rsidP="00CB765F">
      <w:pPr>
        <w:rPr>
          <w:rFonts w:ascii="Gotham Pro" w:hAnsi="Gotham Pro" w:cs="Gotham Pro"/>
          <w:b/>
          <w:bCs/>
          <w:sz w:val="20"/>
        </w:rPr>
      </w:pPr>
    </w:p>
    <w:p w14:paraId="667C789B" w14:textId="77777777" w:rsidR="00CB765F" w:rsidRPr="0017484A" w:rsidRDefault="00CB765F" w:rsidP="00CB765F">
      <w:pPr>
        <w:rPr>
          <w:rFonts w:ascii="Gotham Pro" w:hAnsi="Gotham Pro" w:cs="Gotham Pro"/>
          <w:sz w:val="20"/>
        </w:rPr>
      </w:pPr>
      <w:r w:rsidRPr="0017484A">
        <w:rPr>
          <w:rFonts w:ascii="Gotham Pro" w:hAnsi="Gotham Pro" w:cs="Gotham Pro"/>
          <w:b/>
          <w:bCs/>
          <w:sz w:val="20"/>
        </w:rPr>
        <w:t xml:space="preserve">Дата і час завершення голосування </w:t>
      </w:r>
      <w:r w:rsidRPr="0017484A">
        <w:rPr>
          <w:rFonts w:ascii="Gotham Pro" w:hAnsi="Gotham Pro" w:cs="Gotham Pro"/>
          <w:sz w:val="20"/>
        </w:rPr>
        <w:t xml:space="preserve">– </w:t>
      </w:r>
      <w:r w:rsidRPr="0017484A">
        <w:rPr>
          <w:rFonts w:ascii="Gotham Pro" w:hAnsi="Gotham Pro" w:cs="Gotham Pro"/>
          <w:sz w:val="20"/>
          <w:u w:val="single"/>
        </w:rPr>
        <w:t>до 18 години 00 хвилин</w:t>
      </w:r>
      <w:r w:rsidRPr="0017484A">
        <w:rPr>
          <w:rFonts w:ascii="Gotham Pro" w:hAnsi="Gotham Pro" w:cs="Gotham Pro"/>
          <w:sz w:val="20"/>
        </w:rPr>
        <w:t xml:space="preserve">: </w:t>
      </w:r>
      <w:r w:rsidRPr="0017484A">
        <w:rPr>
          <w:rFonts w:ascii="Gotham Pro" w:hAnsi="Gotham Pro" w:cs="Gotham Pro"/>
          <w:b/>
          <w:bCs/>
          <w:sz w:val="20"/>
        </w:rPr>
        <w:t>«</w:t>
      </w:r>
      <w:r>
        <w:rPr>
          <w:rFonts w:ascii="Gotham Pro" w:hAnsi="Gotham Pro" w:cs="Gotham Pro"/>
          <w:b/>
          <w:bCs/>
          <w:sz w:val="20"/>
        </w:rPr>
        <w:t>10</w:t>
      </w:r>
      <w:r w:rsidRPr="0017484A">
        <w:rPr>
          <w:rFonts w:ascii="Gotham Pro" w:hAnsi="Gotham Pro" w:cs="Gotham Pro"/>
          <w:b/>
          <w:bCs/>
          <w:sz w:val="20"/>
        </w:rPr>
        <w:t xml:space="preserve">» </w:t>
      </w:r>
      <w:r>
        <w:rPr>
          <w:rFonts w:ascii="Gotham Pro" w:hAnsi="Gotham Pro" w:cs="Gotham Pro"/>
          <w:b/>
          <w:bCs/>
          <w:sz w:val="20"/>
        </w:rPr>
        <w:t xml:space="preserve">квітня </w:t>
      </w:r>
      <w:r w:rsidRPr="0017484A">
        <w:rPr>
          <w:rFonts w:ascii="Gotham Pro" w:hAnsi="Gotham Pro" w:cs="Gotham Pro"/>
          <w:b/>
          <w:bCs/>
          <w:sz w:val="20"/>
        </w:rPr>
        <w:t>202</w:t>
      </w:r>
      <w:r>
        <w:rPr>
          <w:rFonts w:ascii="Gotham Pro" w:hAnsi="Gotham Pro" w:cs="Gotham Pro"/>
          <w:b/>
          <w:bCs/>
          <w:sz w:val="20"/>
        </w:rPr>
        <w:t>6</w:t>
      </w:r>
      <w:r w:rsidRPr="0017484A">
        <w:rPr>
          <w:rFonts w:ascii="Gotham Pro" w:hAnsi="Gotham Pro" w:cs="Gotham Pro"/>
          <w:b/>
          <w:bCs/>
          <w:sz w:val="20"/>
        </w:rPr>
        <w:t xml:space="preserve"> року.</w:t>
      </w:r>
    </w:p>
    <w:p w14:paraId="502BBCC8" w14:textId="77777777" w:rsidR="00CB765F" w:rsidRPr="0017484A" w:rsidRDefault="00CB765F" w:rsidP="00CB765F">
      <w:pPr>
        <w:rPr>
          <w:rFonts w:ascii="Gotham Pro" w:hAnsi="Gotham Pro" w:cs="Gotham Pro"/>
          <w:sz w:val="20"/>
        </w:rPr>
      </w:pPr>
    </w:p>
    <w:p w14:paraId="38F622C4" w14:textId="77777777" w:rsidR="00CB765F" w:rsidRPr="0017484A" w:rsidRDefault="00CB765F" w:rsidP="00CB765F">
      <w:pPr>
        <w:rPr>
          <w:rFonts w:ascii="Gotham Pro" w:hAnsi="Gotham Pro" w:cs="Gotham Pro"/>
          <w:b/>
          <w:sz w:val="20"/>
        </w:rPr>
      </w:pPr>
      <w:r w:rsidRPr="0017484A">
        <w:rPr>
          <w:rFonts w:ascii="Gotham Pro" w:hAnsi="Gotham Pro" w:cs="Gotham Pro"/>
          <w:bCs/>
          <w:sz w:val="20"/>
        </w:rPr>
        <w:t xml:space="preserve">Дата заповнення бюлетеня акціонером (представником акціонера): </w:t>
      </w:r>
      <w:r w:rsidRPr="0017484A">
        <w:rPr>
          <w:rFonts w:ascii="Gotham Pro" w:hAnsi="Gotham Pro" w:cs="Gotham Pro"/>
          <w:b/>
          <w:sz w:val="20"/>
        </w:rPr>
        <w:t>«_</w:t>
      </w:r>
      <w:r>
        <w:rPr>
          <w:rFonts w:ascii="Gotham Pro" w:hAnsi="Gotham Pro" w:cs="Gotham Pro"/>
          <w:b/>
          <w:color w:val="FF0000"/>
          <w:sz w:val="20"/>
        </w:rPr>
        <w:t>_</w:t>
      </w:r>
      <w:r w:rsidRPr="0017484A">
        <w:rPr>
          <w:rFonts w:ascii="Gotham Pro" w:hAnsi="Gotham Pro" w:cs="Gotham Pro"/>
          <w:b/>
          <w:sz w:val="20"/>
        </w:rPr>
        <w:t xml:space="preserve">_» </w:t>
      </w:r>
      <w:r>
        <w:rPr>
          <w:rFonts w:ascii="Gotham Pro" w:hAnsi="Gotham Pro" w:cs="Gotham Pro"/>
          <w:b/>
          <w:sz w:val="20"/>
        </w:rPr>
        <w:t xml:space="preserve">____ </w:t>
      </w:r>
      <w:r w:rsidRPr="0017484A">
        <w:rPr>
          <w:rFonts w:ascii="Gotham Pro" w:hAnsi="Gotham Pro" w:cs="Gotham Pro"/>
          <w:b/>
          <w:sz w:val="20"/>
        </w:rPr>
        <w:t>202</w:t>
      </w:r>
      <w:r>
        <w:rPr>
          <w:rFonts w:ascii="Gotham Pro" w:hAnsi="Gotham Pro" w:cs="Gotham Pro"/>
          <w:b/>
          <w:sz w:val="20"/>
        </w:rPr>
        <w:t>6</w:t>
      </w:r>
      <w:r w:rsidRPr="0017484A">
        <w:rPr>
          <w:rFonts w:ascii="Gotham Pro" w:hAnsi="Gotham Pro" w:cs="Gotham Pro"/>
          <w:b/>
          <w:sz w:val="20"/>
        </w:rPr>
        <w:t xml:space="preserve"> року</w:t>
      </w:r>
    </w:p>
    <w:tbl>
      <w:tblPr>
        <w:tblStyle w:val="ac"/>
        <w:tblpPr w:leftFromText="180" w:rightFromText="180" w:vertAnchor="text" w:horzAnchor="margin" w:tblpXSpec="center" w:tblpY="397"/>
        <w:tblW w:w="10771"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718"/>
      </w:tblGrid>
      <w:tr w:rsidR="00CB765F" w:rsidRPr="0017484A" w14:paraId="0D79E7A4" w14:textId="77777777" w:rsidTr="00AF749B">
        <w:tc>
          <w:tcPr>
            <w:tcW w:w="5387" w:type="dxa"/>
            <w:tcBorders>
              <w:top w:val="nil"/>
              <w:left w:val="nil"/>
              <w:bottom w:val="nil"/>
              <w:right w:val="nil"/>
            </w:tcBorders>
            <w:vAlign w:val="center"/>
          </w:tcPr>
          <w:p w14:paraId="55A09870"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ru-RU"/>
              </w:rPr>
            </w:pPr>
            <w:r w:rsidRPr="0017484A">
              <w:rPr>
                <w:rFonts w:ascii="Gotham Pro" w:hAnsi="Gotham Pro" w:cs="Gotham Pro"/>
                <w:b/>
                <w:szCs w:val="20"/>
                <w:lang w:val="uk-UA"/>
              </w:rPr>
              <w:t>ПІБ/ найменування акціонера та/або представника</w:t>
            </w:r>
          </w:p>
        </w:tc>
        <w:tc>
          <w:tcPr>
            <w:tcW w:w="5384" w:type="dxa"/>
            <w:gridSpan w:val="14"/>
            <w:tcBorders>
              <w:top w:val="nil"/>
              <w:left w:val="nil"/>
              <w:bottom w:val="nil"/>
              <w:right w:val="nil"/>
            </w:tcBorders>
            <w:vAlign w:val="center"/>
          </w:tcPr>
          <w:p w14:paraId="0D04D55C" w14:textId="77777777" w:rsidR="00CB765F" w:rsidRPr="0017484A" w:rsidRDefault="00CB765F" w:rsidP="00AF749B">
            <w:pPr>
              <w:pStyle w:val="Body"/>
              <w:numPr>
                <w:ilvl w:val="0"/>
                <w:numId w:val="0"/>
              </w:numPr>
              <w:spacing w:before="0" w:after="0" w:line="240" w:lineRule="auto"/>
              <w:rPr>
                <w:rFonts w:ascii="Gotham Pro" w:hAnsi="Gotham Pro" w:cs="Gotham Pro"/>
                <w:b/>
                <w:szCs w:val="20"/>
                <w:lang w:val="ru-RU"/>
              </w:rPr>
            </w:pPr>
            <w:r w:rsidRPr="0017484A">
              <w:rPr>
                <w:rFonts w:ascii="Gotham Pro" w:hAnsi="Gotham Pro" w:cs="Gotham Pro"/>
                <w:b/>
                <w:szCs w:val="20"/>
                <w:lang w:val="uk-UA"/>
              </w:rPr>
              <w:t xml:space="preserve">     Кількості голосів, що належать акціонеру</w:t>
            </w:r>
          </w:p>
        </w:tc>
      </w:tr>
      <w:tr w:rsidR="00CB765F" w:rsidRPr="0017484A" w14:paraId="4986A89D" w14:textId="77777777" w:rsidTr="00AF749B">
        <w:trPr>
          <w:gridAfter w:val="1"/>
          <w:wAfter w:w="718" w:type="dxa"/>
        </w:trPr>
        <w:tc>
          <w:tcPr>
            <w:tcW w:w="5387" w:type="dxa"/>
            <w:tcBorders>
              <w:top w:val="nil"/>
              <w:left w:val="nil"/>
              <w:bottom w:val="single" w:sz="4" w:space="0" w:color="auto"/>
              <w:right w:val="nil"/>
            </w:tcBorders>
          </w:tcPr>
          <w:p w14:paraId="18B8416B"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p w14:paraId="6FB25A3E" w14:textId="77777777" w:rsidR="00CB765F" w:rsidRPr="00DA1980" w:rsidRDefault="00CB765F" w:rsidP="00AF749B">
            <w:pPr>
              <w:pStyle w:val="Body"/>
              <w:numPr>
                <w:ilvl w:val="0"/>
                <w:numId w:val="0"/>
              </w:numPr>
              <w:spacing w:before="0" w:after="0" w:line="240" w:lineRule="auto"/>
              <w:rPr>
                <w:rFonts w:ascii="Gotham Pro" w:hAnsi="Gotham Pro" w:cs="Gotham Pro"/>
                <w:bCs/>
                <w:szCs w:val="20"/>
                <w:lang w:val="uk-UA"/>
              </w:rPr>
            </w:pPr>
          </w:p>
        </w:tc>
        <w:tc>
          <w:tcPr>
            <w:tcW w:w="358" w:type="dxa"/>
            <w:tcBorders>
              <w:top w:val="nil"/>
              <w:left w:val="nil"/>
              <w:bottom w:val="nil"/>
              <w:right w:val="single" w:sz="4" w:space="0" w:color="auto"/>
            </w:tcBorders>
          </w:tcPr>
          <w:p w14:paraId="283CFB74"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46875F97"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526B0483"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6E98FB91"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7DF7CBAE"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264DC288"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102C99AD"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1A103327"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7A872692"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2DDFB337"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79EB0856"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48ABD6C2" w14:textId="77777777" w:rsidR="00CB765F" w:rsidRPr="0017484A" w:rsidRDefault="00CB765F" w:rsidP="00AF749B">
            <w:pPr>
              <w:spacing w:line="259" w:lineRule="auto"/>
              <w:rPr>
                <w:rFonts w:ascii="Gotham Pro" w:hAnsi="Gotham Pro" w:cs="Gotham Pro"/>
                <w:bCs/>
              </w:rPr>
            </w:pPr>
          </w:p>
        </w:tc>
        <w:tc>
          <w:tcPr>
            <w:tcW w:w="359" w:type="dxa"/>
            <w:tcBorders>
              <w:top w:val="single" w:sz="4" w:space="0" w:color="auto"/>
              <w:left w:val="single" w:sz="4" w:space="0" w:color="auto"/>
              <w:bottom w:val="single" w:sz="4" w:space="0" w:color="auto"/>
              <w:right w:val="single" w:sz="4" w:space="0" w:color="auto"/>
            </w:tcBorders>
          </w:tcPr>
          <w:p w14:paraId="035AB2B6" w14:textId="77777777" w:rsidR="00CB765F" w:rsidRPr="0017484A" w:rsidRDefault="00CB765F" w:rsidP="00AF749B">
            <w:pPr>
              <w:spacing w:line="259" w:lineRule="auto"/>
              <w:rPr>
                <w:rFonts w:ascii="Gotham Pro" w:hAnsi="Gotham Pro" w:cs="Gotham Pro"/>
                <w:bCs/>
              </w:rPr>
            </w:pPr>
          </w:p>
        </w:tc>
      </w:tr>
      <w:tr w:rsidR="00CB765F" w:rsidRPr="0017484A" w14:paraId="5A27EDE4" w14:textId="77777777" w:rsidTr="00AF749B">
        <w:trPr>
          <w:gridAfter w:val="14"/>
          <w:wAfter w:w="5384" w:type="dxa"/>
        </w:trPr>
        <w:tc>
          <w:tcPr>
            <w:tcW w:w="5387" w:type="dxa"/>
            <w:tcBorders>
              <w:top w:val="single" w:sz="4" w:space="0" w:color="auto"/>
              <w:left w:val="nil"/>
              <w:bottom w:val="single" w:sz="4" w:space="0" w:color="auto"/>
              <w:right w:val="nil"/>
            </w:tcBorders>
          </w:tcPr>
          <w:p w14:paraId="4DFF673A"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0E2A6385" w14:textId="77777777" w:rsidTr="00AF749B">
        <w:trPr>
          <w:gridAfter w:val="14"/>
          <w:wAfter w:w="5384" w:type="dxa"/>
        </w:trPr>
        <w:tc>
          <w:tcPr>
            <w:tcW w:w="5387" w:type="dxa"/>
            <w:tcBorders>
              <w:top w:val="single" w:sz="4" w:space="0" w:color="auto"/>
              <w:left w:val="nil"/>
              <w:bottom w:val="single" w:sz="4" w:space="0" w:color="auto"/>
              <w:right w:val="nil"/>
            </w:tcBorders>
          </w:tcPr>
          <w:p w14:paraId="48DE2B27"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3791C2B9" w14:textId="77777777" w:rsidTr="00AF749B">
        <w:trPr>
          <w:gridAfter w:val="14"/>
          <w:wAfter w:w="5384" w:type="dxa"/>
        </w:trPr>
        <w:tc>
          <w:tcPr>
            <w:tcW w:w="5387" w:type="dxa"/>
            <w:tcBorders>
              <w:top w:val="single" w:sz="4" w:space="0" w:color="auto"/>
              <w:left w:val="nil"/>
              <w:bottom w:val="single" w:sz="4" w:space="0" w:color="auto"/>
              <w:right w:val="nil"/>
            </w:tcBorders>
          </w:tcPr>
          <w:p w14:paraId="0B388B75"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p w14:paraId="134ACC71"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7A0CF9BE" w14:textId="77777777" w:rsidTr="00AF749B">
        <w:trPr>
          <w:gridAfter w:val="14"/>
          <w:wAfter w:w="5384" w:type="dxa"/>
        </w:trPr>
        <w:tc>
          <w:tcPr>
            <w:tcW w:w="5387" w:type="dxa"/>
            <w:tcBorders>
              <w:top w:val="single" w:sz="4" w:space="0" w:color="auto"/>
              <w:left w:val="nil"/>
              <w:bottom w:val="nil"/>
              <w:right w:val="nil"/>
            </w:tcBorders>
          </w:tcPr>
          <w:p w14:paraId="6DE80B78" w14:textId="77777777" w:rsidR="00CB765F" w:rsidRPr="0017484A" w:rsidRDefault="00CB765F" w:rsidP="00AF749B">
            <w:pPr>
              <w:pStyle w:val="Body"/>
              <w:numPr>
                <w:ilvl w:val="0"/>
                <w:numId w:val="0"/>
              </w:numPr>
              <w:spacing w:before="0" w:after="0" w:line="240" w:lineRule="auto"/>
              <w:rPr>
                <w:rFonts w:ascii="Gotham Pro" w:hAnsi="Gotham Pro" w:cs="Gotham Pro"/>
                <w:bCs/>
                <w:sz w:val="16"/>
                <w:szCs w:val="16"/>
                <w:lang w:val="uk-UA"/>
              </w:rPr>
            </w:pPr>
            <w:r w:rsidRPr="0017484A">
              <w:rPr>
                <w:rFonts w:ascii="Gotham Pro" w:hAnsi="Gotham Pro"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5ED5F7AA" w14:textId="77777777" w:rsidR="00CB765F" w:rsidRPr="0017484A" w:rsidRDefault="00CB765F" w:rsidP="00CB765F">
      <w:pPr>
        <w:rPr>
          <w:rFonts w:ascii="Gotham Pro" w:hAnsi="Gotham Pro" w:cs="Gotham Pro"/>
          <w:sz w:val="20"/>
        </w:rPr>
      </w:pPr>
    </w:p>
    <w:p w14:paraId="518B2885" w14:textId="77777777" w:rsidR="00CB765F" w:rsidRPr="0017484A" w:rsidRDefault="00CB765F" w:rsidP="00CB765F">
      <w:pPr>
        <w:pStyle w:val="Body"/>
        <w:numPr>
          <w:ilvl w:val="0"/>
          <w:numId w:val="0"/>
        </w:numPr>
        <w:spacing w:before="0" w:after="0" w:line="240" w:lineRule="auto"/>
        <w:rPr>
          <w:rFonts w:ascii="Gotham Pro" w:hAnsi="Gotham Pro" w:cs="Gotham Pro"/>
          <w:bCs/>
          <w:szCs w:val="20"/>
          <w:lang w:val="uk-UA"/>
        </w:rPr>
      </w:pPr>
    </w:p>
    <w:tbl>
      <w:tblPr>
        <w:tblStyle w:val="ac"/>
        <w:tblW w:w="10037" w:type="dxa"/>
        <w:jc w:val="center"/>
        <w:tblLook w:val="04A0" w:firstRow="1" w:lastRow="0" w:firstColumn="1" w:lastColumn="0" w:noHBand="0" w:noVBand="1"/>
      </w:tblPr>
      <w:tblGrid>
        <w:gridCol w:w="781"/>
        <w:gridCol w:w="6147"/>
        <w:gridCol w:w="1606"/>
        <w:gridCol w:w="1503"/>
      </w:tblGrid>
      <w:tr w:rsidR="00CB765F" w:rsidRPr="0017484A" w14:paraId="190B0206" w14:textId="77777777" w:rsidTr="00AF749B">
        <w:trPr>
          <w:jc w:val="center"/>
        </w:trPr>
        <w:tc>
          <w:tcPr>
            <w:tcW w:w="781" w:type="dxa"/>
            <w:vAlign w:val="center"/>
          </w:tcPr>
          <w:p w14:paraId="629E6881"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 з/п</w:t>
            </w:r>
          </w:p>
        </w:tc>
        <w:tc>
          <w:tcPr>
            <w:tcW w:w="6147" w:type="dxa"/>
            <w:vAlign w:val="center"/>
          </w:tcPr>
          <w:p w14:paraId="721C162B"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r>
              <w:rPr>
                <w:rFonts w:ascii="Gotham Pro" w:hAnsi="Gotham Pro" w:cs="Gotham Pro"/>
                <w:b/>
                <w:szCs w:val="20"/>
                <w:lang w:val="uk-UA"/>
              </w:rPr>
              <w:t>П</w:t>
            </w:r>
            <w:r w:rsidRPr="0017484A">
              <w:rPr>
                <w:rFonts w:ascii="Gotham Pro" w:hAnsi="Gotham Pro" w:cs="Gotham Pro"/>
                <w:b/>
                <w:szCs w:val="20"/>
                <w:lang w:val="uk-UA"/>
              </w:rPr>
              <w:t xml:space="preserve">итання, винесене на голосування, та </w:t>
            </w:r>
            <w:proofErr w:type="spellStart"/>
            <w:r w:rsidRPr="0017484A">
              <w:rPr>
                <w:rFonts w:ascii="Gotham Pro" w:hAnsi="Gotham Pro" w:cs="Gotham Pro"/>
                <w:b/>
                <w:szCs w:val="20"/>
                <w:lang w:val="uk-UA"/>
              </w:rPr>
              <w:t>проєкт</w:t>
            </w:r>
            <w:proofErr w:type="spellEnd"/>
            <w:r w:rsidRPr="0017484A">
              <w:rPr>
                <w:rFonts w:ascii="Gotham Pro" w:hAnsi="Gotham Pro" w:cs="Gotham Pro"/>
                <w:b/>
                <w:szCs w:val="20"/>
                <w:lang w:val="uk-UA"/>
              </w:rPr>
              <w:t xml:space="preserve"> (</w:t>
            </w:r>
            <w:proofErr w:type="spellStart"/>
            <w:r w:rsidRPr="0017484A">
              <w:rPr>
                <w:rFonts w:ascii="Gotham Pro" w:hAnsi="Gotham Pro" w:cs="Gotham Pro"/>
                <w:b/>
                <w:szCs w:val="20"/>
                <w:lang w:val="uk-UA"/>
              </w:rPr>
              <w:t>проєкти</w:t>
            </w:r>
            <w:proofErr w:type="spellEnd"/>
            <w:r w:rsidRPr="0017484A">
              <w:rPr>
                <w:rFonts w:ascii="Gotham Pro" w:hAnsi="Gotham Pro" w:cs="Gotham Pro"/>
                <w:b/>
                <w:szCs w:val="20"/>
                <w:lang w:val="uk-UA"/>
              </w:rPr>
              <w:t>) рішення кожного із питань, включених до порядку денного загальних зборів</w:t>
            </w:r>
          </w:p>
        </w:tc>
        <w:tc>
          <w:tcPr>
            <w:tcW w:w="3109" w:type="dxa"/>
            <w:gridSpan w:val="2"/>
            <w:vAlign w:val="center"/>
          </w:tcPr>
          <w:p w14:paraId="3A8B72BF"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r>
              <w:rPr>
                <w:rFonts w:ascii="Gotham Pro" w:hAnsi="Gotham Pro" w:cs="Gotham Pro"/>
                <w:b/>
                <w:szCs w:val="20"/>
                <w:lang w:val="uk-UA"/>
              </w:rPr>
              <w:t>В</w:t>
            </w:r>
            <w:r w:rsidRPr="0017484A">
              <w:rPr>
                <w:rFonts w:ascii="Gotham Pro" w:hAnsi="Gotham Pro" w:cs="Gotham Pro"/>
                <w:b/>
                <w:szCs w:val="20"/>
                <w:lang w:val="uk-UA"/>
              </w:rPr>
              <w:t xml:space="preserve">аріанти голосування за кожний </w:t>
            </w:r>
            <w:proofErr w:type="spellStart"/>
            <w:r w:rsidRPr="0017484A">
              <w:rPr>
                <w:rFonts w:ascii="Gotham Pro" w:hAnsi="Gotham Pro" w:cs="Gotham Pro"/>
                <w:b/>
                <w:szCs w:val="20"/>
                <w:lang w:val="uk-UA"/>
              </w:rPr>
              <w:t>проєкт</w:t>
            </w:r>
            <w:proofErr w:type="spellEnd"/>
            <w:r w:rsidRPr="0017484A">
              <w:rPr>
                <w:rFonts w:ascii="Gotham Pro" w:hAnsi="Gotham Pro" w:cs="Gotham Pro"/>
                <w:b/>
                <w:szCs w:val="20"/>
                <w:lang w:val="uk-UA"/>
              </w:rPr>
              <w:t xml:space="preserve"> рішення по кожному із питань порядку денного</w:t>
            </w:r>
          </w:p>
          <w:p w14:paraId="12BDDE6F"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 xml:space="preserve">(навпроти вибраного варіанту позначити </w:t>
            </w:r>
            <w:r w:rsidRPr="0017484A">
              <w:rPr>
                <w:rFonts w:ascii="Gotham Pro" w:hAnsi="Gotham Pro" w:cs="Gotham Pro"/>
                <w:b/>
                <w:szCs w:val="20"/>
                <w:lang w:val="uk-UA"/>
              </w:rPr>
              <w:t>Х</w:t>
            </w:r>
            <w:r w:rsidRPr="0017484A">
              <w:rPr>
                <w:rFonts w:ascii="Gotham Pro" w:hAnsi="Gotham Pro" w:cs="Gotham Pro"/>
                <w:bCs/>
                <w:szCs w:val="20"/>
                <w:lang w:val="uk-UA"/>
              </w:rPr>
              <w:t>)</w:t>
            </w:r>
          </w:p>
        </w:tc>
      </w:tr>
      <w:tr w:rsidR="00CB765F" w:rsidRPr="0017484A" w14:paraId="35CB9992" w14:textId="77777777" w:rsidTr="00AF749B">
        <w:trPr>
          <w:trHeight w:val="1265"/>
          <w:jc w:val="center"/>
        </w:trPr>
        <w:tc>
          <w:tcPr>
            <w:tcW w:w="781" w:type="dxa"/>
            <w:vMerge w:val="restart"/>
            <w:vAlign w:val="center"/>
          </w:tcPr>
          <w:p w14:paraId="56594E69"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1</w:t>
            </w:r>
          </w:p>
        </w:tc>
        <w:tc>
          <w:tcPr>
            <w:tcW w:w="6147" w:type="dxa"/>
            <w:vMerge w:val="restart"/>
          </w:tcPr>
          <w:p w14:paraId="3B21EEC2" w14:textId="77777777" w:rsidR="00CB765F" w:rsidRDefault="00CB765F" w:rsidP="00AF749B">
            <w:pPr>
              <w:spacing w:after="0"/>
              <w:rPr>
                <w:rFonts w:ascii="Gotham Pro" w:hAnsi="Gotham Pro" w:cs="Gotham Pro"/>
                <w:b/>
                <w:sz w:val="20"/>
              </w:rPr>
            </w:pPr>
            <w:r w:rsidRPr="00493519">
              <w:rPr>
                <w:rFonts w:ascii="Gotham Pro" w:hAnsi="Gotham Pro" w:cs="Gotham Pro"/>
                <w:b/>
                <w:sz w:val="20"/>
              </w:rPr>
              <w:t>Затвердження річних результатів діяльності (річного звіту) та річної фінансової звітності Товариства за 202</w:t>
            </w:r>
            <w:r>
              <w:rPr>
                <w:rFonts w:ascii="Gotham Pro" w:hAnsi="Gotham Pro" w:cs="Gotham Pro"/>
                <w:b/>
                <w:sz w:val="20"/>
              </w:rPr>
              <w:t>5</w:t>
            </w:r>
            <w:r w:rsidRPr="00493519">
              <w:rPr>
                <w:rFonts w:ascii="Gotham Pro" w:hAnsi="Gotham Pro" w:cs="Gotham Pro"/>
                <w:b/>
                <w:sz w:val="20"/>
              </w:rPr>
              <w:t xml:space="preserve"> рік.</w:t>
            </w:r>
          </w:p>
          <w:p w14:paraId="1FD14F70" w14:textId="77777777" w:rsidR="00CB765F" w:rsidRPr="00EA4A37" w:rsidRDefault="00CB765F" w:rsidP="00AF749B">
            <w:pPr>
              <w:spacing w:after="0"/>
              <w:rPr>
                <w:rFonts w:ascii="Gotham Pro" w:hAnsi="Gotham Pro" w:cs="Gotham Pro"/>
                <w:sz w:val="20"/>
                <w:lang w:val="ru-RU" w:eastAsia="uk-UA"/>
              </w:rPr>
            </w:pPr>
            <w:proofErr w:type="spellStart"/>
            <w:r w:rsidRPr="0017484A">
              <w:rPr>
                <w:rFonts w:ascii="Gotham Pro" w:hAnsi="Gotham Pro" w:cs="Gotham Pro"/>
                <w:sz w:val="20"/>
                <w:u w:val="single"/>
                <w:lang w:eastAsia="uk-UA"/>
              </w:rPr>
              <w:t>Проєкт</w:t>
            </w:r>
            <w:proofErr w:type="spellEnd"/>
            <w:r w:rsidRPr="0017484A">
              <w:rPr>
                <w:rFonts w:ascii="Gotham Pro" w:hAnsi="Gotham Pro" w:cs="Gotham Pro"/>
                <w:sz w:val="20"/>
                <w:u w:val="single"/>
                <w:lang w:eastAsia="uk-UA"/>
              </w:rPr>
              <w:t xml:space="preserve"> рішення №1 з питання №1:</w:t>
            </w:r>
            <w:r w:rsidRPr="0017484A">
              <w:rPr>
                <w:rFonts w:ascii="Gotham Pro" w:hAnsi="Gotham Pro" w:cs="Gotham Pro"/>
                <w:sz w:val="20"/>
                <w:lang w:eastAsia="uk-UA"/>
              </w:rPr>
              <w:t xml:space="preserve"> </w:t>
            </w:r>
          </w:p>
          <w:p w14:paraId="3BE12FB0" w14:textId="66BA5221" w:rsidR="00CB765F" w:rsidRPr="00EA4A37" w:rsidRDefault="00EA4A37" w:rsidP="00EA4A37">
            <w:pPr>
              <w:spacing w:after="0"/>
              <w:jc w:val="both"/>
              <w:rPr>
                <w:rFonts w:ascii="Gotham Pro" w:hAnsi="Gotham Pro" w:cs="Gotham Pro"/>
                <w:sz w:val="20"/>
              </w:rPr>
            </w:pPr>
            <w:r>
              <w:rPr>
                <w:rFonts w:ascii="Gotham Pro" w:hAnsi="Gotham Pro" w:cs="Gotham Pro"/>
                <w:sz w:val="20"/>
              </w:rPr>
              <w:t xml:space="preserve">1.1. </w:t>
            </w:r>
            <w:r w:rsidR="00CB765F" w:rsidRPr="00EA4A37">
              <w:rPr>
                <w:rFonts w:ascii="Gotham Pro" w:hAnsi="Gotham Pro" w:cs="Gotham Pro"/>
                <w:sz w:val="20"/>
              </w:rPr>
              <w:t>Затвердити звіт про результати фінансово-господарської діяльності Товариства за 2025 рік.</w:t>
            </w:r>
          </w:p>
          <w:p w14:paraId="48EF4F06" w14:textId="3C0327A8" w:rsidR="00CB765F" w:rsidRPr="00EA4A37" w:rsidRDefault="00EA4A37" w:rsidP="00EA4A37">
            <w:pPr>
              <w:spacing w:after="0"/>
              <w:jc w:val="both"/>
              <w:rPr>
                <w:rFonts w:ascii="Gotham Pro" w:hAnsi="Gotham Pro" w:cs="Gotham Pro"/>
                <w:sz w:val="20"/>
              </w:rPr>
            </w:pPr>
            <w:r w:rsidRPr="00EA4A37">
              <w:rPr>
                <w:rFonts w:ascii="Gotham Pro" w:hAnsi="Gotham Pro" w:cs="Gotham Pro"/>
                <w:sz w:val="20"/>
              </w:rPr>
              <w:t xml:space="preserve">1.2. </w:t>
            </w:r>
            <w:r w:rsidR="00CB765F" w:rsidRPr="00EA4A37">
              <w:rPr>
                <w:rFonts w:ascii="Gotham Pro" w:hAnsi="Gotham Pro" w:cs="Gotham Pro"/>
                <w:sz w:val="20"/>
              </w:rPr>
              <w:t xml:space="preserve">Затвердити фінансову звітність Товариства (баланс Товариства та додатки до балансу) станом на 31 грудня 2025 року. </w:t>
            </w:r>
          </w:p>
        </w:tc>
        <w:tc>
          <w:tcPr>
            <w:tcW w:w="1606" w:type="dxa"/>
            <w:vAlign w:val="center"/>
          </w:tcPr>
          <w:p w14:paraId="1FB77C16"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5D2028D7"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451BF01B" w14:textId="77777777" w:rsidTr="00AF749B">
        <w:trPr>
          <w:trHeight w:val="694"/>
          <w:jc w:val="center"/>
        </w:trPr>
        <w:tc>
          <w:tcPr>
            <w:tcW w:w="781" w:type="dxa"/>
            <w:vMerge/>
            <w:vAlign w:val="center"/>
          </w:tcPr>
          <w:p w14:paraId="5ECF4B3B"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5186046D"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1D64BC51"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p w14:paraId="3C99266C" w14:textId="77777777" w:rsidR="00CB765F" w:rsidRPr="0017484A" w:rsidRDefault="00CB765F" w:rsidP="00AF749B">
            <w:pPr>
              <w:pStyle w:val="Body"/>
              <w:spacing w:before="0" w:after="0" w:line="240" w:lineRule="auto"/>
              <w:jc w:val="center"/>
              <w:rPr>
                <w:rFonts w:ascii="Gotham Pro" w:hAnsi="Gotham Pro" w:cs="Gotham Pro"/>
                <w:bCs/>
                <w:szCs w:val="20"/>
                <w:lang w:val="uk-UA"/>
              </w:rPr>
            </w:pPr>
          </w:p>
        </w:tc>
        <w:tc>
          <w:tcPr>
            <w:tcW w:w="1503" w:type="dxa"/>
          </w:tcPr>
          <w:p w14:paraId="5A63E383"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632511D0" w14:textId="77777777" w:rsidTr="00AF749B">
        <w:trPr>
          <w:trHeight w:val="1268"/>
          <w:jc w:val="center"/>
        </w:trPr>
        <w:tc>
          <w:tcPr>
            <w:tcW w:w="781" w:type="dxa"/>
            <w:vMerge w:val="restart"/>
            <w:vAlign w:val="center"/>
          </w:tcPr>
          <w:p w14:paraId="5BD71BA4"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lastRenderedPageBreak/>
              <w:t>2</w:t>
            </w:r>
          </w:p>
        </w:tc>
        <w:tc>
          <w:tcPr>
            <w:tcW w:w="6147" w:type="dxa"/>
            <w:vMerge w:val="restart"/>
          </w:tcPr>
          <w:p w14:paraId="664C48A1" w14:textId="77777777" w:rsidR="00CB765F" w:rsidRPr="00527E3B" w:rsidRDefault="00CB765F" w:rsidP="00AF749B">
            <w:pPr>
              <w:widowControl w:val="0"/>
              <w:autoSpaceDE w:val="0"/>
              <w:autoSpaceDN w:val="0"/>
              <w:adjustRightInd w:val="0"/>
              <w:spacing w:after="0"/>
              <w:rPr>
                <w:rFonts w:ascii="Gotham Pro" w:hAnsi="Gotham Pro" w:cs="Gotham Pro"/>
                <w:sz w:val="20"/>
                <w:szCs w:val="20"/>
              </w:rPr>
            </w:pPr>
            <w:r w:rsidRPr="00527E3B">
              <w:rPr>
                <w:rFonts w:ascii="Gotham Pro" w:hAnsi="Gotham Pro" w:cs="Gotham Pro"/>
                <w:b/>
                <w:sz w:val="20"/>
                <w:szCs w:val="20"/>
              </w:rPr>
              <w:t>Звіт Наглядової ради Товариства за 202</w:t>
            </w:r>
            <w:r>
              <w:rPr>
                <w:rFonts w:ascii="Gotham Pro" w:hAnsi="Gotham Pro" w:cs="Gotham Pro"/>
                <w:b/>
                <w:sz w:val="20"/>
                <w:szCs w:val="20"/>
              </w:rPr>
              <w:t>5</w:t>
            </w:r>
            <w:r w:rsidRPr="00527E3B">
              <w:rPr>
                <w:rFonts w:ascii="Gotham Pro" w:hAnsi="Gotham Pro" w:cs="Gotham Pro"/>
                <w:b/>
                <w:sz w:val="20"/>
                <w:szCs w:val="20"/>
              </w:rPr>
              <w:t xml:space="preserve"> рік.</w:t>
            </w:r>
          </w:p>
          <w:p w14:paraId="178B3177" w14:textId="77777777" w:rsidR="00CB765F" w:rsidRDefault="00CB765F" w:rsidP="00AF749B">
            <w:pPr>
              <w:spacing w:after="0"/>
              <w:rPr>
                <w:rFonts w:ascii="Gotham Pro" w:hAnsi="Gotham Pro" w:cs="Gotham Pro"/>
                <w:sz w:val="20"/>
              </w:rPr>
            </w:pPr>
            <w:proofErr w:type="spellStart"/>
            <w:r w:rsidRPr="0017484A">
              <w:rPr>
                <w:rFonts w:ascii="Gotham Pro" w:hAnsi="Gotham Pro" w:cs="Gotham Pro"/>
                <w:sz w:val="20"/>
                <w:u w:val="single"/>
                <w:lang w:eastAsia="uk-UA"/>
              </w:rPr>
              <w:t>Про</w:t>
            </w:r>
            <w:r>
              <w:rPr>
                <w:rFonts w:ascii="Gotham Pro" w:hAnsi="Gotham Pro" w:cs="Gotham Pro"/>
                <w:sz w:val="20"/>
                <w:u w:val="single"/>
                <w:lang w:eastAsia="uk-UA"/>
              </w:rPr>
              <w:t>є</w:t>
            </w:r>
            <w:r w:rsidRPr="0017484A">
              <w:rPr>
                <w:rFonts w:ascii="Gotham Pro" w:hAnsi="Gotham Pro" w:cs="Gotham Pro"/>
                <w:sz w:val="20"/>
                <w:u w:val="single"/>
                <w:lang w:eastAsia="uk-UA"/>
              </w:rPr>
              <w:t>кт</w:t>
            </w:r>
            <w:proofErr w:type="spellEnd"/>
            <w:r w:rsidRPr="0017484A">
              <w:rPr>
                <w:rFonts w:ascii="Gotham Pro" w:hAnsi="Gotham Pro" w:cs="Gotham Pro"/>
                <w:sz w:val="20"/>
                <w:u w:val="single"/>
                <w:lang w:eastAsia="uk-UA"/>
              </w:rPr>
              <w:t xml:space="preserve"> рішення №1 з питання №2:</w:t>
            </w:r>
            <w:r>
              <w:rPr>
                <w:rFonts w:ascii="Gotham Pro" w:hAnsi="Gotham Pro" w:cs="Gotham Pro"/>
                <w:sz w:val="20"/>
              </w:rPr>
              <w:t xml:space="preserve"> </w:t>
            </w:r>
          </w:p>
          <w:p w14:paraId="51F56810" w14:textId="77777777" w:rsidR="00CB765F" w:rsidRPr="0017484A" w:rsidRDefault="00CB765F" w:rsidP="00AF749B">
            <w:pPr>
              <w:spacing w:after="0"/>
              <w:rPr>
                <w:rFonts w:ascii="Gotham Pro" w:hAnsi="Gotham Pro" w:cs="Gotham Pro"/>
                <w:sz w:val="20"/>
              </w:rPr>
            </w:pPr>
            <w:r>
              <w:rPr>
                <w:rFonts w:ascii="Gotham Pro" w:hAnsi="Gotham Pro" w:cs="Gotham Pro"/>
                <w:sz w:val="20"/>
              </w:rPr>
              <w:t>Затвердити звіт Наглядової ради Товариства за 2025 рік</w:t>
            </w:r>
            <w:r w:rsidRPr="0017484A">
              <w:rPr>
                <w:rFonts w:ascii="Gotham Pro" w:hAnsi="Gotham Pro" w:cs="Gotham Pro"/>
                <w:sz w:val="20"/>
              </w:rPr>
              <w:t>.</w:t>
            </w:r>
          </w:p>
        </w:tc>
        <w:tc>
          <w:tcPr>
            <w:tcW w:w="1606" w:type="dxa"/>
            <w:vAlign w:val="center"/>
          </w:tcPr>
          <w:p w14:paraId="4EA612BE"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5429D033"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253A6F95" w14:textId="77777777" w:rsidTr="00AF749B">
        <w:trPr>
          <w:trHeight w:val="41"/>
          <w:jc w:val="center"/>
        </w:trPr>
        <w:tc>
          <w:tcPr>
            <w:tcW w:w="781" w:type="dxa"/>
            <w:vMerge/>
            <w:vAlign w:val="center"/>
          </w:tcPr>
          <w:p w14:paraId="202937E0"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685141A6"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10505CC4"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76038E69" w14:textId="77777777" w:rsidR="00CB765F" w:rsidRDefault="00CB765F" w:rsidP="00AF749B">
            <w:pPr>
              <w:pStyle w:val="Body"/>
              <w:numPr>
                <w:ilvl w:val="0"/>
                <w:numId w:val="0"/>
              </w:numPr>
              <w:spacing w:before="0" w:after="0" w:line="240" w:lineRule="auto"/>
              <w:rPr>
                <w:rFonts w:ascii="Gotham Pro" w:hAnsi="Gotham Pro" w:cs="Gotham Pro"/>
                <w:bCs/>
                <w:szCs w:val="20"/>
                <w:lang w:val="uk-UA"/>
              </w:rPr>
            </w:pPr>
          </w:p>
          <w:p w14:paraId="017B4FBA" w14:textId="77777777" w:rsidR="00CB765F" w:rsidRDefault="00CB765F" w:rsidP="00AF749B">
            <w:pPr>
              <w:pStyle w:val="Body"/>
              <w:numPr>
                <w:ilvl w:val="0"/>
                <w:numId w:val="0"/>
              </w:numPr>
              <w:spacing w:before="0" w:after="0" w:line="240" w:lineRule="auto"/>
              <w:rPr>
                <w:rFonts w:ascii="Gotham Pro" w:hAnsi="Gotham Pro" w:cs="Gotham Pro"/>
                <w:bCs/>
                <w:szCs w:val="20"/>
                <w:lang w:val="uk-UA"/>
              </w:rPr>
            </w:pPr>
          </w:p>
          <w:p w14:paraId="72AE5687"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0AD67B12" w14:textId="77777777" w:rsidTr="00AF749B">
        <w:trPr>
          <w:trHeight w:val="849"/>
          <w:jc w:val="center"/>
        </w:trPr>
        <w:tc>
          <w:tcPr>
            <w:tcW w:w="781" w:type="dxa"/>
            <w:vMerge w:val="restart"/>
            <w:vAlign w:val="center"/>
          </w:tcPr>
          <w:p w14:paraId="4DD773C8"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3</w:t>
            </w:r>
          </w:p>
        </w:tc>
        <w:tc>
          <w:tcPr>
            <w:tcW w:w="6147" w:type="dxa"/>
            <w:vMerge w:val="restart"/>
          </w:tcPr>
          <w:p w14:paraId="5D819287" w14:textId="77777777" w:rsidR="00CB765F" w:rsidRDefault="00CB765F" w:rsidP="00AF749B">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 xml:space="preserve">Звіт </w:t>
            </w:r>
            <w:r>
              <w:rPr>
                <w:rFonts w:ascii="Gotham Pro" w:hAnsi="Gotham Pro" w:cs="Gotham Pro"/>
                <w:b/>
                <w:sz w:val="20"/>
                <w:szCs w:val="20"/>
              </w:rPr>
              <w:t>ревізора</w:t>
            </w:r>
            <w:r w:rsidRPr="00527E3B">
              <w:rPr>
                <w:rFonts w:ascii="Gotham Pro" w:hAnsi="Gotham Pro" w:cs="Gotham Pro"/>
                <w:b/>
                <w:sz w:val="20"/>
                <w:szCs w:val="20"/>
              </w:rPr>
              <w:t xml:space="preserve"> про результати перевірки фінансово-господарської діяльності Товариства за 202</w:t>
            </w:r>
            <w:r w:rsidRPr="00CF72C4">
              <w:rPr>
                <w:rFonts w:ascii="Gotham Pro" w:hAnsi="Gotham Pro" w:cs="Gotham Pro"/>
                <w:b/>
                <w:sz w:val="20"/>
                <w:szCs w:val="20"/>
                <w:lang w:val="ru-RU"/>
              </w:rPr>
              <w:t>5</w:t>
            </w:r>
            <w:r w:rsidRPr="00527E3B">
              <w:rPr>
                <w:rFonts w:ascii="Gotham Pro" w:hAnsi="Gotham Pro" w:cs="Gotham Pro"/>
                <w:b/>
                <w:sz w:val="20"/>
                <w:szCs w:val="20"/>
              </w:rPr>
              <w:t xml:space="preserve"> рік.</w:t>
            </w:r>
          </w:p>
          <w:p w14:paraId="7828F33A" w14:textId="77777777" w:rsidR="005C66E1" w:rsidRPr="00EA4A37" w:rsidRDefault="00CB765F" w:rsidP="00AF749B">
            <w:pPr>
              <w:pStyle w:val="ad"/>
              <w:tabs>
                <w:tab w:val="left" w:pos="851"/>
              </w:tabs>
              <w:ind w:firstLine="0"/>
              <w:rPr>
                <w:rFonts w:ascii="Gotham Pro" w:hAnsi="Gotham Pro" w:cs="Gotham Pro"/>
                <w:sz w:val="20"/>
                <w:szCs w:val="20"/>
                <w:lang w:val="ru-RU" w:eastAsia="uk-UA"/>
              </w:rPr>
            </w:pPr>
            <w:proofErr w:type="spellStart"/>
            <w:r w:rsidRPr="0017484A">
              <w:rPr>
                <w:rFonts w:ascii="Gotham Pro" w:hAnsi="Gotham Pro" w:cs="Gotham Pro"/>
                <w:sz w:val="20"/>
                <w:szCs w:val="20"/>
                <w:u w:val="single"/>
                <w:lang w:eastAsia="uk-UA"/>
              </w:rPr>
              <w:t>Про</w:t>
            </w:r>
            <w:r>
              <w:rPr>
                <w:rFonts w:ascii="Gotham Pro" w:hAnsi="Gotham Pro" w:cs="Gotham Pro"/>
                <w:sz w:val="20"/>
                <w:szCs w:val="20"/>
                <w:u w:val="single"/>
                <w:lang w:eastAsia="uk-UA"/>
              </w:rPr>
              <w:t>є</w:t>
            </w:r>
            <w:r w:rsidRPr="0017484A">
              <w:rPr>
                <w:rFonts w:ascii="Gotham Pro" w:hAnsi="Gotham Pro" w:cs="Gotham Pro"/>
                <w:sz w:val="20"/>
                <w:szCs w:val="20"/>
                <w:u w:val="single"/>
                <w:lang w:eastAsia="uk-UA"/>
              </w:rPr>
              <w:t>кт</w:t>
            </w:r>
            <w:proofErr w:type="spellEnd"/>
            <w:r w:rsidRPr="0017484A">
              <w:rPr>
                <w:rFonts w:ascii="Gotham Pro" w:hAnsi="Gotham Pro" w:cs="Gotham Pro"/>
                <w:sz w:val="20"/>
                <w:szCs w:val="20"/>
                <w:u w:val="single"/>
                <w:lang w:eastAsia="uk-UA"/>
              </w:rPr>
              <w:t xml:space="preserve"> рішення №1 з питання №3:</w:t>
            </w:r>
            <w:r w:rsidRPr="0017484A">
              <w:rPr>
                <w:rFonts w:ascii="Gotham Pro" w:hAnsi="Gotham Pro" w:cs="Gotham Pro"/>
                <w:sz w:val="20"/>
                <w:szCs w:val="20"/>
                <w:lang w:eastAsia="uk-UA"/>
              </w:rPr>
              <w:t xml:space="preserve"> </w:t>
            </w:r>
          </w:p>
          <w:p w14:paraId="4EDF1AD6" w14:textId="0888837C" w:rsidR="00CB765F" w:rsidRPr="0017484A" w:rsidRDefault="00CB765F" w:rsidP="00AF749B">
            <w:pPr>
              <w:pStyle w:val="ad"/>
              <w:tabs>
                <w:tab w:val="left" w:pos="851"/>
              </w:tabs>
              <w:ind w:firstLine="0"/>
              <w:rPr>
                <w:rFonts w:ascii="Gotham Pro" w:hAnsi="Gotham Pro" w:cs="Gotham Pro"/>
                <w:sz w:val="20"/>
                <w:szCs w:val="20"/>
              </w:rPr>
            </w:pPr>
            <w:r w:rsidRPr="00527E3B">
              <w:rPr>
                <w:rFonts w:ascii="Gotham Pro" w:hAnsi="Gotham Pro" w:cs="Gotham Pro"/>
                <w:sz w:val="20"/>
                <w:szCs w:val="20"/>
              </w:rPr>
              <w:t xml:space="preserve">Затвердити звіт </w:t>
            </w:r>
            <w:r>
              <w:rPr>
                <w:rFonts w:ascii="Gotham Pro" w:hAnsi="Gotham Pro" w:cs="Gotham Pro"/>
                <w:sz w:val="20"/>
                <w:szCs w:val="20"/>
              </w:rPr>
              <w:t xml:space="preserve">ревізора </w:t>
            </w:r>
            <w:r w:rsidRPr="00527E3B">
              <w:rPr>
                <w:rFonts w:ascii="Gotham Pro" w:hAnsi="Gotham Pro" w:cs="Gotham Pro"/>
                <w:sz w:val="20"/>
                <w:szCs w:val="20"/>
              </w:rPr>
              <w:t>про результати перевірки фінансово-господарської діяльності Товариства за 202</w:t>
            </w:r>
            <w:r>
              <w:rPr>
                <w:rFonts w:ascii="Gotham Pro" w:hAnsi="Gotham Pro" w:cs="Gotham Pro"/>
                <w:sz w:val="20"/>
                <w:szCs w:val="20"/>
              </w:rPr>
              <w:t>5</w:t>
            </w:r>
            <w:r w:rsidRPr="00527E3B">
              <w:rPr>
                <w:rFonts w:ascii="Gotham Pro" w:hAnsi="Gotham Pro" w:cs="Gotham Pro"/>
                <w:sz w:val="20"/>
                <w:szCs w:val="20"/>
              </w:rPr>
              <w:t xml:space="preserve"> рік.</w:t>
            </w:r>
          </w:p>
        </w:tc>
        <w:tc>
          <w:tcPr>
            <w:tcW w:w="1606" w:type="dxa"/>
            <w:vAlign w:val="center"/>
          </w:tcPr>
          <w:p w14:paraId="60155CC1"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2E94503A"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41656779" w14:textId="77777777" w:rsidTr="00AF749B">
        <w:trPr>
          <w:trHeight w:val="647"/>
          <w:jc w:val="center"/>
        </w:trPr>
        <w:tc>
          <w:tcPr>
            <w:tcW w:w="781" w:type="dxa"/>
            <w:vMerge/>
            <w:vAlign w:val="center"/>
          </w:tcPr>
          <w:p w14:paraId="613C0547"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56A36748"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55BE23F9"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7A76FA18"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3CE1F518" w14:textId="77777777" w:rsidTr="00AF749B">
        <w:trPr>
          <w:trHeight w:val="848"/>
          <w:jc w:val="center"/>
        </w:trPr>
        <w:tc>
          <w:tcPr>
            <w:tcW w:w="781" w:type="dxa"/>
            <w:vMerge w:val="restart"/>
            <w:vAlign w:val="center"/>
          </w:tcPr>
          <w:p w14:paraId="6A3F776E"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4</w:t>
            </w:r>
          </w:p>
        </w:tc>
        <w:tc>
          <w:tcPr>
            <w:tcW w:w="6147" w:type="dxa"/>
            <w:vMerge w:val="restart"/>
          </w:tcPr>
          <w:p w14:paraId="1FD59513" w14:textId="77777777" w:rsidR="00CB765F" w:rsidRDefault="00CB765F" w:rsidP="00AF749B">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Затвердження порядку розподілу прибутку Товариства за 202</w:t>
            </w:r>
            <w:r>
              <w:rPr>
                <w:rFonts w:ascii="Gotham Pro" w:hAnsi="Gotham Pro" w:cs="Gotham Pro"/>
                <w:b/>
                <w:sz w:val="20"/>
                <w:szCs w:val="20"/>
              </w:rPr>
              <w:t>5</w:t>
            </w:r>
            <w:r w:rsidRPr="00527E3B">
              <w:rPr>
                <w:rFonts w:ascii="Gotham Pro" w:hAnsi="Gotham Pro" w:cs="Gotham Pro"/>
                <w:b/>
                <w:sz w:val="20"/>
                <w:szCs w:val="20"/>
              </w:rPr>
              <w:t xml:space="preserve">  рік, прийняття рішення про виплату дивідендів та затвердження їх розміру</w:t>
            </w:r>
            <w:r>
              <w:rPr>
                <w:rFonts w:ascii="Gotham Pro" w:hAnsi="Gotham Pro" w:cs="Gotham Pro"/>
                <w:b/>
                <w:sz w:val="20"/>
                <w:szCs w:val="20"/>
              </w:rPr>
              <w:t>, установити норму відрахування прибутку до резервного фонду Товариства на рівні 5%.</w:t>
            </w:r>
            <w:r w:rsidRPr="00527E3B">
              <w:rPr>
                <w:rFonts w:ascii="Gotham Pro" w:hAnsi="Gotham Pro" w:cs="Gotham Pro"/>
                <w:b/>
                <w:sz w:val="20"/>
                <w:szCs w:val="20"/>
              </w:rPr>
              <w:t xml:space="preserve"> </w:t>
            </w:r>
          </w:p>
          <w:p w14:paraId="7EFDFC52" w14:textId="77777777" w:rsidR="005C66E1" w:rsidRPr="00EA4A37" w:rsidRDefault="00CB765F" w:rsidP="00AF749B">
            <w:pPr>
              <w:pStyle w:val="ad"/>
              <w:tabs>
                <w:tab w:val="left" w:pos="851"/>
              </w:tabs>
              <w:ind w:firstLine="0"/>
              <w:rPr>
                <w:rFonts w:ascii="Gotham Pro" w:hAnsi="Gotham Pro" w:cs="Gotham Pro"/>
                <w:sz w:val="20"/>
                <w:szCs w:val="20"/>
                <w:lang w:val="ru-RU" w:eastAsia="uk-UA"/>
              </w:rPr>
            </w:pPr>
            <w:proofErr w:type="spellStart"/>
            <w:r>
              <w:rPr>
                <w:rFonts w:ascii="Gotham Pro" w:hAnsi="Gotham Pro" w:cs="Gotham Pro"/>
                <w:sz w:val="20"/>
                <w:szCs w:val="20"/>
                <w:u w:val="single"/>
                <w:lang w:eastAsia="uk-UA"/>
              </w:rPr>
              <w:t>П</w:t>
            </w:r>
            <w:r w:rsidRPr="0017484A">
              <w:rPr>
                <w:rFonts w:ascii="Gotham Pro" w:hAnsi="Gotham Pro" w:cs="Gotham Pro"/>
                <w:sz w:val="20"/>
                <w:szCs w:val="20"/>
                <w:u w:val="single"/>
                <w:lang w:eastAsia="uk-UA"/>
              </w:rPr>
              <w:t>роєкт</w:t>
            </w:r>
            <w:proofErr w:type="spellEnd"/>
            <w:r w:rsidRPr="0017484A">
              <w:rPr>
                <w:rFonts w:ascii="Gotham Pro" w:hAnsi="Gotham Pro" w:cs="Gotham Pro"/>
                <w:sz w:val="20"/>
                <w:szCs w:val="20"/>
                <w:u w:val="single"/>
                <w:lang w:eastAsia="uk-UA"/>
              </w:rPr>
              <w:t xml:space="preserve"> рішення №1 з питання №4:</w:t>
            </w:r>
            <w:r w:rsidRPr="0017484A">
              <w:rPr>
                <w:rFonts w:ascii="Gotham Pro" w:hAnsi="Gotham Pro" w:cs="Gotham Pro"/>
                <w:sz w:val="20"/>
                <w:szCs w:val="20"/>
                <w:lang w:eastAsia="uk-UA"/>
              </w:rPr>
              <w:t xml:space="preserve"> </w:t>
            </w:r>
          </w:p>
          <w:p w14:paraId="5FC4B2C5" w14:textId="76C858A7" w:rsidR="00CB765F" w:rsidRPr="0017484A" w:rsidRDefault="00CB765F" w:rsidP="00AF749B">
            <w:pPr>
              <w:pStyle w:val="ad"/>
              <w:tabs>
                <w:tab w:val="left" w:pos="851"/>
              </w:tabs>
              <w:ind w:firstLine="0"/>
              <w:rPr>
                <w:rFonts w:ascii="Gotham Pro" w:hAnsi="Gotham Pro" w:cs="Gotham Pro"/>
                <w:sz w:val="20"/>
                <w:szCs w:val="20"/>
              </w:rPr>
            </w:pPr>
            <w:r w:rsidRPr="00527E3B">
              <w:rPr>
                <w:rFonts w:ascii="Gotham Pro" w:hAnsi="Gotham Pro" w:cs="Gotham Pro"/>
                <w:sz w:val="20"/>
                <w:szCs w:val="20"/>
              </w:rPr>
              <w:t>Дивіденди за результатами діяльності Товариства за 202</w:t>
            </w:r>
            <w:r>
              <w:rPr>
                <w:rFonts w:ascii="Gotham Pro" w:hAnsi="Gotham Pro" w:cs="Gotham Pro"/>
                <w:sz w:val="20"/>
                <w:szCs w:val="20"/>
              </w:rPr>
              <w:t>5</w:t>
            </w:r>
            <w:r w:rsidRPr="00527E3B">
              <w:rPr>
                <w:rFonts w:ascii="Gotham Pro" w:hAnsi="Gotham Pro" w:cs="Gotham Pro"/>
                <w:sz w:val="20"/>
                <w:szCs w:val="20"/>
              </w:rPr>
              <w:t xml:space="preserve"> рік не розподіляти, залишивши в розпорядженні Товариства</w:t>
            </w:r>
            <w:r>
              <w:rPr>
                <w:rFonts w:ascii="Gotham Pro" w:hAnsi="Gotham Pro" w:cs="Gotham Pro"/>
                <w:sz w:val="20"/>
                <w:szCs w:val="20"/>
              </w:rPr>
              <w:t>, установити норму відрахування прибутку до резервного фонду Товариства на рівні 5 %.</w:t>
            </w:r>
          </w:p>
        </w:tc>
        <w:tc>
          <w:tcPr>
            <w:tcW w:w="1606" w:type="dxa"/>
            <w:vAlign w:val="center"/>
          </w:tcPr>
          <w:p w14:paraId="180B2A9A"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7F6E1328"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23EA8337" w14:textId="77777777" w:rsidTr="00AF749B">
        <w:trPr>
          <w:trHeight w:val="279"/>
          <w:jc w:val="center"/>
        </w:trPr>
        <w:tc>
          <w:tcPr>
            <w:tcW w:w="781" w:type="dxa"/>
            <w:vMerge/>
            <w:vAlign w:val="center"/>
          </w:tcPr>
          <w:p w14:paraId="43847475"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4B748512"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5021D1D7"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3C7BF7D4" w14:textId="77777777" w:rsidR="00CB765F" w:rsidRDefault="00CB765F" w:rsidP="00AF749B">
            <w:pPr>
              <w:pStyle w:val="Body"/>
              <w:numPr>
                <w:ilvl w:val="0"/>
                <w:numId w:val="0"/>
              </w:numPr>
              <w:spacing w:before="0" w:after="0" w:line="240" w:lineRule="auto"/>
              <w:rPr>
                <w:rFonts w:ascii="Gotham Pro" w:hAnsi="Gotham Pro" w:cs="Gotham Pro"/>
                <w:bCs/>
                <w:szCs w:val="20"/>
                <w:lang w:val="uk-UA"/>
              </w:rPr>
            </w:pPr>
          </w:p>
          <w:p w14:paraId="7ADF47DE" w14:textId="77777777" w:rsidR="00CB765F" w:rsidRDefault="00CB765F" w:rsidP="00AF749B">
            <w:pPr>
              <w:pStyle w:val="Body"/>
              <w:numPr>
                <w:ilvl w:val="0"/>
                <w:numId w:val="0"/>
              </w:numPr>
              <w:spacing w:before="0" w:after="0" w:line="240" w:lineRule="auto"/>
              <w:rPr>
                <w:rFonts w:ascii="Gotham Pro" w:hAnsi="Gotham Pro" w:cs="Gotham Pro"/>
                <w:bCs/>
                <w:szCs w:val="20"/>
                <w:lang w:val="uk-UA"/>
              </w:rPr>
            </w:pPr>
          </w:p>
          <w:p w14:paraId="62D51744"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0CD47031" w14:textId="77777777" w:rsidTr="00AF749B">
        <w:trPr>
          <w:trHeight w:val="690"/>
          <w:jc w:val="center"/>
        </w:trPr>
        <w:tc>
          <w:tcPr>
            <w:tcW w:w="781" w:type="dxa"/>
            <w:vMerge w:val="restart"/>
            <w:vAlign w:val="center"/>
          </w:tcPr>
          <w:p w14:paraId="76B8A3F4"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5</w:t>
            </w:r>
          </w:p>
        </w:tc>
        <w:tc>
          <w:tcPr>
            <w:tcW w:w="6147" w:type="dxa"/>
            <w:vMerge w:val="restart"/>
          </w:tcPr>
          <w:p w14:paraId="2476B2B7" w14:textId="77777777" w:rsidR="00CB765F" w:rsidRDefault="00CB765F" w:rsidP="00AF749B">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Затвердження основних напрямків діяльності Товариства на 202</w:t>
            </w:r>
            <w:r>
              <w:rPr>
                <w:rFonts w:ascii="Gotham Pro" w:hAnsi="Gotham Pro" w:cs="Gotham Pro"/>
                <w:b/>
                <w:sz w:val="20"/>
                <w:szCs w:val="20"/>
              </w:rPr>
              <w:t>6</w:t>
            </w:r>
            <w:r w:rsidRPr="00527E3B">
              <w:rPr>
                <w:rFonts w:ascii="Gotham Pro" w:hAnsi="Gotham Pro" w:cs="Gotham Pro"/>
                <w:b/>
                <w:sz w:val="20"/>
                <w:szCs w:val="20"/>
              </w:rPr>
              <w:t xml:space="preserve"> рік.</w:t>
            </w:r>
          </w:p>
          <w:p w14:paraId="2CE56109" w14:textId="77777777" w:rsidR="005C66E1" w:rsidRPr="00EA4A37" w:rsidRDefault="00CB765F" w:rsidP="00AF749B">
            <w:pPr>
              <w:pStyle w:val="ad"/>
              <w:tabs>
                <w:tab w:val="left" w:pos="851"/>
              </w:tabs>
              <w:ind w:firstLine="0"/>
              <w:rPr>
                <w:rFonts w:ascii="Gotham Pro" w:hAnsi="Gotham Pro" w:cs="Gotham Pro"/>
                <w:sz w:val="20"/>
                <w:szCs w:val="20"/>
              </w:rPr>
            </w:pPr>
            <w:proofErr w:type="spellStart"/>
            <w:r>
              <w:rPr>
                <w:rFonts w:ascii="Gotham Pro" w:hAnsi="Gotham Pro" w:cs="Gotham Pro"/>
                <w:sz w:val="20"/>
                <w:szCs w:val="20"/>
                <w:u w:val="single"/>
                <w:lang w:eastAsia="uk-UA"/>
              </w:rPr>
              <w:t>П</w:t>
            </w:r>
            <w:r w:rsidRPr="0017484A">
              <w:rPr>
                <w:rFonts w:ascii="Gotham Pro" w:hAnsi="Gotham Pro" w:cs="Gotham Pro"/>
                <w:sz w:val="20"/>
                <w:szCs w:val="20"/>
                <w:u w:val="single"/>
                <w:lang w:eastAsia="uk-UA"/>
              </w:rPr>
              <w:t>роєкт</w:t>
            </w:r>
            <w:proofErr w:type="spellEnd"/>
            <w:r w:rsidRPr="0017484A">
              <w:rPr>
                <w:rFonts w:ascii="Gotham Pro" w:hAnsi="Gotham Pro" w:cs="Gotham Pro"/>
                <w:sz w:val="20"/>
                <w:szCs w:val="20"/>
                <w:u w:val="single"/>
                <w:lang w:eastAsia="uk-UA"/>
              </w:rPr>
              <w:t xml:space="preserve"> рішення №1 з питання №5:</w:t>
            </w:r>
            <w:r w:rsidRPr="0017484A">
              <w:rPr>
                <w:rFonts w:ascii="Gotham Pro" w:hAnsi="Gotham Pro" w:cs="Gotham Pro"/>
                <w:sz w:val="20"/>
                <w:szCs w:val="20"/>
              </w:rPr>
              <w:t xml:space="preserve"> </w:t>
            </w:r>
          </w:p>
          <w:p w14:paraId="78B2DFAF" w14:textId="04758E6B" w:rsidR="00CB765F" w:rsidRPr="0017484A" w:rsidRDefault="00CB765F" w:rsidP="00AF749B">
            <w:pPr>
              <w:pStyle w:val="ad"/>
              <w:tabs>
                <w:tab w:val="left" w:pos="851"/>
              </w:tabs>
              <w:ind w:firstLine="0"/>
              <w:rPr>
                <w:rFonts w:ascii="Gotham Pro" w:hAnsi="Gotham Pro" w:cs="Gotham Pro"/>
                <w:sz w:val="20"/>
                <w:szCs w:val="20"/>
              </w:rPr>
            </w:pPr>
            <w:r w:rsidRPr="00527E3B">
              <w:rPr>
                <w:rFonts w:ascii="Gotham Pro" w:hAnsi="Gotham Pro" w:cs="Gotham Pro"/>
                <w:sz w:val="20"/>
                <w:szCs w:val="20"/>
                <w:lang w:eastAsia="uk-UA"/>
              </w:rPr>
              <w:t>Установити, що у 202</w:t>
            </w:r>
            <w:r>
              <w:rPr>
                <w:rFonts w:ascii="Gotham Pro" w:hAnsi="Gotham Pro" w:cs="Gotham Pro"/>
                <w:sz w:val="20"/>
                <w:szCs w:val="20"/>
                <w:lang w:eastAsia="uk-UA"/>
              </w:rPr>
              <w:t>6</w:t>
            </w:r>
            <w:r w:rsidRPr="00527E3B">
              <w:rPr>
                <w:rFonts w:ascii="Gotham Pro" w:hAnsi="Gotham Pro" w:cs="Gotham Pro"/>
                <w:sz w:val="20"/>
                <w:szCs w:val="20"/>
                <w:lang w:eastAsia="uk-UA"/>
              </w:rPr>
              <w:t xml:space="preserve"> році Товариство здійснює діяльність з управління активами інституційних інвесторів.</w:t>
            </w:r>
          </w:p>
        </w:tc>
        <w:tc>
          <w:tcPr>
            <w:tcW w:w="1606" w:type="dxa"/>
            <w:vAlign w:val="center"/>
          </w:tcPr>
          <w:p w14:paraId="013C282D"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"ЗА"</w:t>
            </w:r>
          </w:p>
        </w:tc>
        <w:tc>
          <w:tcPr>
            <w:tcW w:w="1503" w:type="dxa"/>
            <w:vAlign w:val="center"/>
          </w:tcPr>
          <w:p w14:paraId="7BDDF387"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280D5FB4" w14:textId="77777777" w:rsidTr="00AF749B">
        <w:trPr>
          <w:trHeight w:val="403"/>
          <w:jc w:val="center"/>
        </w:trPr>
        <w:tc>
          <w:tcPr>
            <w:tcW w:w="781" w:type="dxa"/>
            <w:vMerge/>
            <w:vAlign w:val="center"/>
          </w:tcPr>
          <w:p w14:paraId="4CE0C744"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66494FC5"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25863121"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28177C6E"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3846F644" w14:textId="77777777" w:rsidTr="00AF749B">
        <w:trPr>
          <w:trHeight w:val="714"/>
          <w:jc w:val="center"/>
        </w:trPr>
        <w:tc>
          <w:tcPr>
            <w:tcW w:w="781" w:type="dxa"/>
            <w:vMerge w:val="restart"/>
            <w:vAlign w:val="center"/>
          </w:tcPr>
          <w:p w14:paraId="241D4AC5"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Cs/>
                <w:szCs w:val="20"/>
                <w:lang w:val="uk-UA"/>
              </w:rPr>
              <w:t>6</w:t>
            </w:r>
          </w:p>
        </w:tc>
        <w:tc>
          <w:tcPr>
            <w:tcW w:w="6147" w:type="dxa"/>
            <w:vMerge w:val="restart"/>
          </w:tcPr>
          <w:p w14:paraId="12CA1AE5" w14:textId="77777777" w:rsidR="00CB765F" w:rsidRDefault="00CB765F" w:rsidP="00AF749B">
            <w:pPr>
              <w:pStyle w:val="ad"/>
              <w:tabs>
                <w:tab w:val="left" w:pos="851"/>
              </w:tabs>
              <w:ind w:firstLine="0"/>
              <w:rPr>
                <w:rFonts w:ascii="Gotham Pro" w:hAnsi="Gotham Pro" w:cs="Gotham Pro"/>
                <w:b/>
                <w:sz w:val="20"/>
                <w:szCs w:val="20"/>
              </w:rPr>
            </w:pPr>
            <w:r w:rsidRPr="00527E3B">
              <w:rPr>
                <w:rFonts w:ascii="Gotham Pro" w:hAnsi="Gotham Pro" w:cs="Gotham Pro"/>
                <w:b/>
                <w:sz w:val="20"/>
                <w:szCs w:val="20"/>
              </w:rPr>
              <w:t>Прийняття рішення щодо попереднього схвалення значних правочинів, які можуть вчинятися Товариством протягом не більш як одного року з дати прийняття такого рішення та надання відповідних повноважень.</w:t>
            </w:r>
          </w:p>
          <w:p w14:paraId="0842C468" w14:textId="77777777" w:rsidR="005C66E1" w:rsidRPr="00EA4A37" w:rsidRDefault="00CB765F" w:rsidP="00AF749B">
            <w:pPr>
              <w:pStyle w:val="ad"/>
              <w:tabs>
                <w:tab w:val="left" w:pos="851"/>
              </w:tabs>
              <w:ind w:firstLine="0"/>
              <w:rPr>
                <w:rFonts w:ascii="Gotham Pro" w:hAnsi="Gotham Pro" w:cs="Gotham Pro"/>
                <w:sz w:val="20"/>
                <w:szCs w:val="20"/>
                <w:lang w:val="ru-RU"/>
              </w:rPr>
            </w:pPr>
            <w:proofErr w:type="spellStart"/>
            <w:r w:rsidRPr="0017484A">
              <w:rPr>
                <w:rFonts w:ascii="Gotham Pro" w:hAnsi="Gotham Pro" w:cs="Gotham Pro"/>
                <w:sz w:val="20"/>
                <w:szCs w:val="20"/>
                <w:u w:val="single"/>
                <w:lang w:eastAsia="uk-UA"/>
              </w:rPr>
              <w:t>Про</w:t>
            </w:r>
            <w:r>
              <w:rPr>
                <w:rFonts w:ascii="Gotham Pro" w:hAnsi="Gotham Pro" w:cs="Gotham Pro"/>
                <w:sz w:val="20"/>
                <w:szCs w:val="20"/>
                <w:u w:val="single"/>
                <w:lang w:eastAsia="uk-UA"/>
              </w:rPr>
              <w:t>є</w:t>
            </w:r>
            <w:r w:rsidRPr="0017484A">
              <w:rPr>
                <w:rFonts w:ascii="Gotham Pro" w:hAnsi="Gotham Pro" w:cs="Gotham Pro"/>
                <w:sz w:val="20"/>
                <w:szCs w:val="20"/>
                <w:u w:val="single"/>
                <w:lang w:eastAsia="uk-UA"/>
              </w:rPr>
              <w:t>кт</w:t>
            </w:r>
            <w:proofErr w:type="spellEnd"/>
            <w:r w:rsidRPr="0017484A">
              <w:rPr>
                <w:rFonts w:ascii="Gotham Pro" w:hAnsi="Gotham Pro" w:cs="Gotham Pro"/>
                <w:sz w:val="20"/>
                <w:szCs w:val="20"/>
                <w:u w:val="single"/>
                <w:lang w:eastAsia="uk-UA"/>
              </w:rPr>
              <w:t xml:space="preserve"> рішення №1 з питання №6:</w:t>
            </w:r>
            <w:r w:rsidRPr="0017484A">
              <w:rPr>
                <w:rFonts w:ascii="Gotham Pro" w:hAnsi="Gotham Pro" w:cs="Gotham Pro"/>
                <w:sz w:val="20"/>
                <w:szCs w:val="20"/>
              </w:rPr>
              <w:t xml:space="preserve"> </w:t>
            </w:r>
          </w:p>
          <w:p w14:paraId="542313BA" w14:textId="5607E756" w:rsidR="00CB765F" w:rsidRPr="0017484A" w:rsidRDefault="00CB765F" w:rsidP="00AF749B">
            <w:pPr>
              <w:pStyle w:val="ad"/>
              <w:tabs>
                <w:tab w:val="left" w:pos="851"/>
              </w:tabs>
              <w:ind w:firstLine="0"/>
              <w:rPr>
                <w:rFonts w:ascii="Gotham Pro" w:hAnsi="Gotham Pro" w:cs="Gotham Pro"/>
                <w:sz w:val="20"/>
                <w:szCs w:val="20"/>
              </w:rPr>
            </w:pPr>
            <w:r w:rsidRPr="00527E3B">
              <w:rPr>
                <w:rFonts w:ascii="Gotham Pro" w:hAnsi="Gotham Pro" w:cs="Gotham Pro"/>
                <w:sz w:val="20"/>
                <w:szCs w:val="20"/>
                <w:lang w:eastAsia="uk-UA"/>
              </w:rPr>
              <w:t>Попередньо схвалити можливість укладення Товариством протягом другого – четвертого кварталу 202</w:t>
            </w:r>
            <w:r>
              <w:rPr>
                <w:rFonts w:ascii="Gotham Pro" w:hAnsi="Gotham Pro" w:cs="Gotham Pro"/>
                <w:sz w:val="20"/>
                <w:szCs w:val="20"/>
                <w:lang w:eastAsia="uk-UA"/>
              </w:rPr>
              <w:t>6</w:t>
            </w:r>
            <w:r w:rsidRPr="00527E3B">
              <w:rPr>
                <w:rFonts w:ascii="Gotham Pro" w:hAnsi="Gotham Pro" w:cs="Gotham Pro"/>
                <w:sz w:val="20"/>
                <w:szCs w:val="20"/>
                <w:lang w:eastAsia="uk-UA"/>
              </w:rPr>
              <w:t xml:space="preserve"> року – першого кварталу 202</w:t>
            </w:r>
            <w:r>
              <w:rPr>
                <w:rFonts w:ascii="Gotham Pro" w:hAnsi="Gotham Pro" w:cs="Gotham Pro"/>
                <w:sz w:val="20"/>
                <w:szCs w:val="20"/>
                <w:lang w:eastAsia="uk-UA"/>
              </w:rPr>
              <w:t>7</w:t>
            </w:r>
            <w:r w:rsidRPr="00527E3B">
              <w:rPr>
                <w:rFonts w:ascii="Gotham Pro" w:hAnsi="Gotham Pro" w:cs="Gotham Pro"/>
                <w:sz w:val="20"/>
                <w:szCs w:val="20"/>
                <w:lang w:eastAsia="uk-UA"/>
              </w:rPr>
              <w:t xml:space="preserve"> року за попереднім узгодженням із Наглядовою радою Товариства та без необхідності додаткового узгодження із Загальними зборами акціонерів Товариства договорів, сума яких не повинна перевищувати 100 000</w:t>
            </w:r>
            <w:r>
              <w:rPr>
                <w:rFonts w:ascii="Gotham Pro" w:hAnsi="Gotham Pro" w:cs="Gotham Pro"/>
                <w:sz w:val="20"/>
                <w:szCs w:val="20"/>
                <w:lang w:eastAsia="uk-UA"/>
              </w:rPr>
              <w:t> </w:t>
            </w:r>
            <w:r w:rsidRPr="00527E3B">
              <w:rPr>
                <w:rFonts w:ascii="Gotham Pro" w:hAnsi="Gotham Pro" w:cs="Gotham Pro"/>
                <w:sz w:val="20"/>
                <w:szCs w:val="20"/>
                <w:lang w:eastAsia="uk-UA"/>
              </w:rPr>
              <w:t>00</w:t>
            </w:r>
            <w:r>
              <w:rPr>
                <w:rFonts w:ascii="Gotham Pro" w:hAnsi="Gotham Pro" w:cs="Gotham Pro"/>
                <w:sz w:val="20"/>
                <w:szCs w:val="20"/>
                <w:lang w:eastAsia="uk-UA"/>
              </w:rPr>
              <w:t>0,00</w:t>
            </w:r>
            <w:r w:rsidRPr="00527E3B">
              <w:rPr>
                <w:rFonts w:ascii="Gotham Pro" w:hAnsi="Gotham Pro" w:cs="Gotham Pro"/>
                <w:sz w:val="20"/>
                <w:szCs w:val="20"/>
                <w:lang w:eastAsia="uk-UA"/>
              </w:rPr>
              <w:t xml:space="preserve"> (сто мільйонів) гривень</w:t>
            </w:r>
            <w:r>
              <w:rPr>
                <w:rFonts w:ascii="Gotham Pro" w:hAnsi="Gotham Pro" w:cs="Gotham Pro"/>
                <w:sz w:val="20"/>
                <w:szCs w:val="20"/>
                <w:lang w:eastAsia="uk-UA"/>
              </w:rPr>
              <w:t xml:space="preserve"> 00 копійок</w:t>
            </w:r>
            <w:r w:rsidRPr="00527E3B">
              <w:rPr>
                <w:rFonts w:ascii="Gotham Pro" w:hAnsi="Gotham Pro" w:cs="Gotham Pro"/>
                <w:sz w:val="20"/>
                <w:szCs w:val="20"/>
                <w:lang w:eastAsia="uk-UA"/>
              </w:rPr>
              <w:t>,</w:t>
            </w:r>
            <w:r>
              <w:rPr>
                <w:rFonts w:ascii="Gotham Pro" w:hAnsi="Gotham Pro" w:cs="Gotham Pro"/>
                <w:sz w:val="20"/>
                <w:szCs w:val="20"/>
                <w:lang w:eastAsia="uk-UA"/>
              </w:rPr>
              <w:t xml:space="preserve"> зокрема,</w:t>
            </w:r>
            <w:r w:rsidRPr="00527E3B">
              <w:rPr>
                <w:rFonts w:ascii="Gotham Pro" w:hAnsi="Gotham Pro" w:cs="Gotham Pro"/>
                <w:sz w:val="20"/>
                <w:szCs w:val="20"/>
                <w:lang w:eastAsia="uk-UA"/>
              </w:rPr>
              <w:t xml:space="preserve"> також договорів про управління активами інституційних інвесторів</w:t>
            </w:r>
            <w:r w:rsidRPr="0017484A">
              <w:rPr>
                <w:rFonts w:ascii="Gotham Pro" w:hAnsi="Gotham Pro" w:cs="Gotham Pro"/>
                <w:sz w:val="20"/>
                <w:szCs w:val="20"/>
                <w:lang w:eastAsia="uk-UA"/>
              </w:rPr>
              <w:t>.</w:t>
            </w:r>
          </w:p>
        </w:tc>
        <w:tc>
          <w:tcPr>
            <w:tcW w:w="1606" w:type="dxa"/>
            <w:vAlign w:val="center"/>
          </w:tcPr>
          <w:p w14:paraId="60B8BA7C"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"ЗА"</w:t>
            </w:r>
          </w:p>
        </w:tc>
        <w:tc>
          <w:tcPr>
            <w:tcW w:w="1503" w:type="dxa"/>
            <w:vAlign w:val="center"/>
          </w:tcPr>
          <w:p w14:paraId="29D700D0"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516A8E00" w14:textId="77777777" w:rsidTr="00AF749B">
        <w:trPr>
          <w:trHeight w:val="2661"/>
          <w:jc w:val="center"/>
        </w:trPr>
        <w:tc>
          <w:tcPr>
            <w:tcW w:w="781" w:type="dxa"/>
            <w:vMerge/>
          </w:tcPr>
          <w:p w14:paraId="15626C37"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6147" w:type="dxa"/>
            <w:vMerge/>
          </w:tcPr>
          <w:p w14:paraId="7BDE47D4"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vAlign w:val="center"/>
          </w:tcPr>
          <w:p w14:paraId="197685A8"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72F23866"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59C50C8C" w14:textId="77777777" w:rsidTr="00AF749B">
        <w:tblPrEx>
          <w:jc w:val="left"/>
        </w:tblPrEx>
        <w:trPr>
          <w:trHeight w:val="714"/>
        </w:trPr>
        <w:tc>
          <w:tcPr>
            <w:tcW w:w="781" w:type="dxa"/>
            <w:vMerge w:val="restart"/>
          </w:tcPr>
          <w:p w14:paraId="7FD67408"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7</w:t>
            </w:r>
          </w:p>
        </w:tc>
        <w:tc>
          <w:tcPr>
            <w:tcW w:w="6147" w:type="dxa"/>
            <w:vMerge w:val="restart"/>
          </w:tcPr>
          <w:p w14:paraId="612E5589" w14:textId="77777777" w:rsidR="00CB765F" w:rsidRPr="0017484A" w:rsidRDefault="00CB765F" w:rsidP="00AF749B">
            <w:pPr>
              <w:pStyle w:val="ad"/>
              <w:tabs>
                <w:tab w:val="left" w:pos="851"/>
              </w:tabs>
              <w:ind w:firstLine="0"/>
              <w:rPr>
                <w:rFonts w:ascii="Gotham Pro" w:hAnsi="Gotham Pro" w:cs="Gotham Pro"/>
                <w:b/>
                <w:sz w:val="20"/>
                <w:szCs w:val="20"/>
              </w:rPr>
            </w:pPr>
            <w:r w:rsidRPr="0012612D">
              <w:rPr>
                <w:rFonts w:ascii="Gotham Pro" w:hAnsi="Gotham Pro" w:cs="Gotham Pro"/>
                <w:b/>
                <w:sz w:val="20"/>
                <w:szCs w:val="20"/>
              </w:rPr>
              <w:t>Про внесення змін до Статуту Товариства шляхом його викладення в новій редакції та визначення осіб, уповноважених на підписання нової редакції Статуту Товариства.</w:t>
            </w:r>
          </w:p>
          <w:p w14:paraId="499441B6" w14:textId="77777777" w:rsidR="00CB765F" w:rsidRDefault="00CB765F" w:rsidP="00AF749B">
            <w:pPr>
              <w:pStyle w:val="ad"/>
              <w:tabs>
                <w:tab w:val="left" w:pos="851"/>
              </w:tabs>
              <w:rPr>
                <w:rFonts w:ascii="Gotham Pro" w:hAnsi="Gotham Pro" w:cs="Gotham Pro"/>
                <w:sz w:val="20"/>
                <w:szCs w:val="20"/>
              </w:rPr>
            </w:pPr>
            <w:proofErr w:type="spellStart"/>
            <w:r w:rsidRPr="0017484A">
              <w:rPr>
                <w:rFonts w:ascii="Gotham Pro" w:hAnsi="Gotham Pro" w:cs="Gotham Pro"/>
                <w:sz w:val="20"/>
                <w:szCs w:val="20"/>
                <w:u w:val="single"/>
                <w:lang w:eastAsia="uk-UA"/>
              </w:rPr>
              <w:t>Про</w:t>
            </w:r>
            <w:r>
              <w:rPr>
                <w:rFonts w:ascii="Gotham Pro" w:hAnsi="Gotham Pro" w:cs="Gotham Pro"/>
                <w:sz w:val="20"/>
                <w:szCs w:val="20"/>
                <w:u w:val="single"/>
                <w:lang w:eastAsia="uk-UA"/>
              </w:rPr>
              <w:t>є</w:t>
            </w:r>
            <w:r w:rsidRPr="0017484A">
              <w:rPr>
                <w:rFonts w:ascii="Gotham Pro" w:hAnsi="Gotham Pro" w:cs="Gotham Pro"/>
                <w:sz w:val="20"/>
                <w:szCs w:val="20"/>
                <w:u w:val="single"/>
                <w:lang w:eastAsia="uk-UA"/>
              </w:rPr>
              <w:t>кт</w:t>
            </w:r>
            <w:proofErr w:type="spellEnd"/>
            <w:r w:rsidRPr="0017484A">
              <w:rPr>
                <w:rFonts w:ascii="Gotham Pro" w:hAnsi="Gotham Pro" w:cs="Gotham Pro"/>
                <w:sz w:val="20"/>
                <w:szCs w:val="20"/>
                <w:u w:val="single"/>
                <w:lang w:eastAsia="uk-UA"/>
              </w:rPr>
              <w:t xml:space="preserve"> рішення №1 з питання №</w:t>
            </w:r>
            <w:r>
              <w:rPr>
                <w:rFonts w:ascii="Gotham Pro" w:hAnsi="Gotham Pro" w:cs="Gotham Pro"/>
                <w:sz w:val="20"/>
                <w:szCs w:val="20"/>
                <w:u w:val="single"/>
                <w:lang w:eastAsia="uk-UA"/>
              </w:rPr>
              <w:t>7</w:t>
            </w:r>
            <w:r w:rsidRPr="0017484A">
              <w:rPr>
                <w:rFonts w:ascii="Gotham Pro" w:hAnsi="Gotham Pro" w:cs="Gotham Pro"/>
                <w:sz w:val="20"/>
                <w:szCs w:val="20"/>
                <w:u w:val="single"/>
                <w:lang w:eastAsia="uk-UA"/>
              </w:rPr>
              <w:t>:</w:t>
            </w:r>
            <w:r w:rsidRPr="0017484A">
              <w:rPr>
                <w:rFonts w:ascii="Gotham Pro" w:hAnsi="Gotham Pro" w:cs="Gotham Pro"/>
                <w:sz w:val="20"/>
                <w:szCs w:val="20"/>
              </w:rPr>
              <w:t xml:space="preserve"> </w:t>
            </w:r>
          </w:p>
          <w:p w14:paraId="57A9ADE5" w14:textId="77777777" w:rsidR="00CB765F" w:rsidRPr="0012612D" w:rsidRDefault="00CB765F" w:rsidP="00761DF3">
            <w:pPr>
              <w:pStyle w:val="ad"/>
              <w:tabs>
                <w:tab w:val="left" w:pos="851"/>
              </w:tabs>
              <w:ind w:firstLine="0"/>
              <w:rPr>
                <w:rFonts w:ascii="Gotham Pro" w:hAnsi="Gotham Pro" w:cs="Gotham Pro"/>
                <w:sz w:val="20"/>
                <w:szCs w:val="20"/>
                <w:lang w:eastAsia="uk-UA"/>
              </w:rPr>
            </w:pPr>
            <w:r w:rsidRPr="0012612D">
              <w:rPr>
                <w:rFonts w:ascii="Gotham Pro" w:hAnsi="Gotham Pro" w:cs="Gotham Pro"/>
                <w:sz w:val="20"/>
                <w:szCs w:val="20"/>
                <w:lang w:eastAsia="uk-UA"/>
              </w:rPr>
              <w:t xml:space="preserve">7.1. У зв’язку із приведенням Статуту Товариства у відповідність до вимог законодавства, </w:t>
            </w:r>
            <w:proofErr w:type="spellStart"/>
            <w:r w:rsidRPr="0012612D">
              <w:rPr>
                <w:rFonts w:ascii="Gotham Pro" w:hAnsi="Gotham Pro" w:cs="Gotham Pro"/>
                <w:sz w:val="20"/>
                <w:szCs w:val="20"/>
                <w:lang w:eastAsia="uk-UA"/>
              </w:rPr>
              <w:t>внести</w:t>
            </w:r>
            <w:proofErr w:type="spellEnd"/>
            <w:r w:rsidRPr="0012612D">
              <w:rPr>
                <w:rFonts w:ascii="Gotham Pro" w:hAnsi="Gotham Pro" w:cs="Gotham Pro"/>
                <w:sz w:val="20"/>
                <w:szCs w:val="20"/>
                <w:lang w:eastAsia="uk-UA"/>
              </w:rPr>
              <w:t xml:space="preserve"> зміни до Статуту Товариства шляхом його викладення в новій редакції та затвердити нову редакцію Статуту Товариства, уповноважити Голову та секретаря зборів підписати нову редакцію Статуту Товариства;</w:t>
            </w:r>
          </w:p>
          <w:p w14:paraId="23810EAC" w14:textId="77777777" w:rsidR="00CB765F" w:rsidRPr="0017484A" w:rsidRDefault="00CB765F" w:rsidP="00AF749B">
            <w:pPr>
              <w:pStyle w:val="ad"/>
              <w:tabs>
                <w:tab w:val="left" w:pos="851"/>
              </w:tabs>
              <w:ind w:firstLine="0"/>
              <w:rPr>
                <w:rFonts w:ascii="Gotham Pro" w:hAnsi="Gotham Pro" w:cs="Gotham Pro"/>
                <w:sz w:val="20"/>
                <w:szCs w:val="20"/>
              </w:rPr>
            </w:pPr>
            <w:r w:rsidRPr="0012612D">
              <w:rPr>
                <w:rFonts w:ascii="Gotham Pro" w:hAnsi="Gotham Pro" w:cs="Gotham Pro"/>
                <w:sz w:val="20"/>
                <w:szCs w:val="20"/>
                <w:lang w:eastAsia="uk-UA"/>
              </w:rPr>
              <w:t>7.2. Провести державну реєстрацію змін до відомостей про Товариство, що містяться в Єдиному державному реєстрі юридичних осіб, фізичних осіб-підприємців та громадських формувань, уповноважити Директора Товариства на здійснення дій пов’язаних з такою реєстрацією.</w:t>
            </w:r>
          </w:p>
        </w:tc>
        <w:tc>
          <w:tcPr>
            <w:tcW w:w="1606" w:type="dxa"/>
          </w:tcPr>
          <w:p w14:paraId="291CA637"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"ЗА"</w:t>
            </w:r>
          </w:p>
        </w:tc>
        <w:tc>
          <w:tcPr>
            <w:tcW w:w="1503" w:type="dxa"/>
          </w:tcPr>
          <w:p w14:paraId="4B215BA1"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7FE484BE" w14:textId="77777777" w:rsidTr="00AF749B">
        <w:tblPrEx>
          <w:jc w:val="left"/>
        </w:tblPrEx>
        <w:trPr>
          <w:trHeight w:val="2661"/>
        </w:trPr>
        <w:tc>
          <w:tcPr>
            <w:tcW w:w="781" w:type="dxa"/>
            <w:vMerge/>
          </w:tcPr>
          <w:p w14:paraId="777F47A0"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6147" w:type="dxa"/>
            <w:vMerge/>
          </w:tcPr>
          <w:p w14:paraId="68EBAD20"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c>
          <w:tcPr>
            <w:tcW w:w="1606" w:type="dxa"/>
          </w:tcPr>
          <w:p w14:paraId="345D82F6"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sidRPr="0017484A">
              <w:rPr>
                <w:rFonts w:ascii="Gotham Pro" w:hAnsi="Gotham Pro" w:cs="Gotham Pro"/>
                <w:b/>
                <w:szCs w:val="20"/>
                <w:lang w:val="uk-UA"/>
              </w:rPr>
              <w:t>"ПРОТИ"</w:t>
            </w:r>
          </w:p>
        </w:tc>
        <w:tc>
          <w:tcPr>
            <w:tcW w:w="1503" w:type="dxa"/>
          </w:tcPr>
          <w:p w14:paraId="0275E526" w14:textId="77777777" w:rsidR="00CB765F" w:rsidRPr="0017484A" w:rsidRDefault="00CB765F" w:rsidP="00AF749B">
            <w:pPr>
              <w:pStyle w:val="Body"/>
              <w:numPr>
                <w:ilvl w:val="0"/>
                <w:numId w:val="0"/>
              </w:numPr>
              <w:spacing w:before="0" w:after="0" w:line="240" w:lineRule="auto"/>
              <w:rPr>
                <w:rFonts w:ascii="Gotham Pro" w:hAnsi="Gotham Pro" w:cs="Gotham Pro"/>
                <w:bCs/>
                <w:szCs w:val="20"/>
                <w:lang w:val="uk-UA"/>
              </w:rPr>
            </w:pPr>
          </w:p>
        </w:tc>
      </w:tr>
      <w:tr w:rsidR="00CB765F" w:rsidRPr="0017484A" w14:paraId="0044A5C8" w14:textId="77777777" w:rsidTr="00AF749B">
        <w:tblPrEx>
          <w:jc w:val="left"/>
        </w:tblPrEx>
        <w:trPr>
          <w:trHeight w:val="714"/>
        </w:trPr>
        <w:tc>
          <w:tcPr>
            <w:tcW w:w="781" w:type="dxa"/>
            <w:vMerge w:val="restart"/>
          </w:tcPr>
          <w:p w14:paraId="7CC57817"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8</w:t>
            </w:r>
          </w:p>
        </w:tc>
        <w:tc>
          <w:tcPr>
            <w:tcW w:w="6147" w:type="dxa"/>
            <w:vMerge w:val="restart"/>
          </w:tcPr>
          <w:p w14:paraId="3E9D0011" w14:textId="77777777" w:rsidR="00CB765F" w:rsidRDefault="00CB765F" w:rsidP="00AF749B">
            <w:pPr>
              <w:pStyle w:val="ad"/>
              <w:tabs>
                <w:tab w:val="left" w:pos="851"/>
              </w:tabs>
              <w:rPr>
                <w:rFonts w:ascii="Gotham Pro" w:hAnsi="Gotham Pro" w:cs="Gotham Pro"/>
                <w:b/>
                <w:sz w:val="20"/>
                <w:szCs w:val="20"/>
              </w:rPr>
            </w:pPr>
            <w:r w:rsidRPr="0012612D">
              <w:rPr>
                <w:rFonts w:ascii="Gotham Pro" w:hAnsi="Gotham Pro" w:cs="Gotham Pro"/>
                <w:b/>
                <w:sz w:val="20"/>
                <w:szCs w:val="20"/>
              </w:rPr>
              <w:t xml:space="preserve">Про затвердження змін до цивільно-правових договорів, укладених з членами Наглядової ради Товариства в частині встановлення нового розміру винагороди, шляхом викладення договорів у новій редакції. Визначення особи, уповноваженої від імені </w:t>
            </w:r>
            <w:r w:rsidRPr="0012612D">
              <w:rPr>
                <w:rFonts w:ascii="Gotham Pro" w:hAnsi="Gotham Pro" w:cs="Gotham Pro"/>
                <w:b/>
                <w:sz w:val="20"/>
                <w:szCs w:val="20"/>
              </w:rPr>
              <w:lastRenderedPageBreak/>
              <w:t>Товариства на підписання змін до договорів з членами Наглядової ради.</w:t>
            </w:r>
          </w:p>
          <w:p w14:paraId="281873CE" w14:textId="77777777" w:rsidR="00CB765F" w:rsidRDefault="00CB765F" w:rsidP="00AF749B">
            <w:pPr>
              <w:pStyle w:val="ad"/>
              <w:tabs>
                <w:tab w:val="left" w:pos="851"/>
              </w:tabs>
              <w:rPr>
                <w:rFonts w:ascii="Gotham Pro" w:hAnsi="Gotham Pro" w:cs="Gotham Pro"/>
                <w:sz w:val="20"/>
                <w:szCs w:val="20"/>
              </w:rPr>
            </w:pPr>
            <w:proofErr w:type="spellStart"/>
            <w:r w:rsidRPr="0017484A">
              <w:rPr>
                <w:rFonts w:ascii="Gotham Pro" w:hAnsi="Gotham Pro" w:cs="Gotham Pro"/>
                <w:sz w:val="20"/>
                <w:szCs w:val="20"/>
                <w:u w:val="single"/>
                <w:lang w:eastAsia="uk-UA"/>
              </w:rPr>
              <w:t>Про</w:t>
            </w:r>
            <w:r>
              <w:rPr>
                <w:rFonts w:ascii="Gotham Pro" w:hAnsi="Gotham Pro" w:cs="Gotham Pro"/>
                <w:sz w:val="20"/>
                <w:szCs w:val="20"/>
                <w:u w:val="single"/>
                <w:lang w:eastAsia="uk-UA"/>
              </w:rPr>
              <w:t>є</w:t>
            </w:r>
            <w:r w:rsidRPr="0017484A">
              <w:rPr>
                <w:rFonts w:ascii="Gotham Pro" w:hAnsi="Gotham Pro" w:cs="Gotham Pro"/>
                <w:sz w:val="20"/>
                <w:szCs w:val="20"/>
                <w:u w:val="single"/>
                <w:lang w:eastAsia="uk-UA"/>
              </w:rPr>
              <w:t>кт</w:t>
            </w:r>
            <w:proofErr w:type="spellEnd"/>
            <w:r w:rsidRPr="0017484A">
              <w:rPr>
                <w:rFonts w:ascii="Gotham Pro" w:hAnsi="Gotham Pro" w:cs="Gotham Pro"/>
                <w:sz w:val="20"/>
                <w:szCs w:val="20"/>
                <w:u w:val="single"/>
                <w:lang w:eastAsia="uk-UA"/>
              </w:rPr>
              <w:t xml:space="preserve"> рішення №1 з питання №</w:t>
            </w:r>
            <w:r>
              <w:rPr>
                <w:rFonts w:ascii="Gotham Pro" w:hAnsi="Gotham Pro" w:cs="Gotham Pro"/>
                <w:sz w:val="20"/>
                <w:szCs w:val="20"/>
                <w:u w:val="single"/>
                <w:lang w:eastAsia="uk-UA"/>
              </w:rPr>
              <w:t>8</w:t>
            </w:r>
            <w:r w:rsidRPr="0017484A">
              <w:rPr>
                <w:rFonts w:ascii="Gotham Pro" w:hAnsi="Gotham Pro" w:cs="Gotham Pro"/>
                <w:sz w:val="20"/>
                <w:szCs w:val="20"/>
                <w:u w:val="single"/>
                <w:lang w:eastAsia="uk-UA"/>
              </w:rPr>
              <w:t>:</w:t>
            </w:r>
            <w:r w:rsidRPr="0017484A">
              <w:rPr>
                <w:rFonts w:ascii="Gotham Pro" w:hAnsi="Gotham Pro" w:cs="Gotham Pro"/>
                <w:sz w:val="20"/>
                <w:szCs w:val="20"/>
              </w:rPr>
              <w:t xml:space="preserve"> </w:t>
            </w:r>
          </w:p>
          <w:p w14:paraId="4D1F6154" w14:textId="77777777" w:rsidR="00CB765F" w:rsidRPr="0012612D" w:rsidRDefault="00CB765F" w:rsidP="00761DF3">
            <w:pPr>
              <w:pStyle w:val="ad"/>
              <w:tabs>
                <w:tab w:val="left" w:pos="851"/>
              </w:tabs>
              <w:ind w:firstLine="0"/>
              <w:rPr>
                <w:rFonts w:ascii="Gotham Pro" w:hAnsi="Gotham Pro" w:cs="Gotham Pro"/>
                <w:sz w:val="20"/>
                <w:szCs w:val="20"/>
                <w:lang w:eastAsia="uk-UA"/>
              </w:rPr>
            </w:pPr>
            <w:r w:rsidRPr="0012612D">
              <w:rPr>
                <w:rFonts w:ascii="Gotham Pro" w:hAnsi="Gotham Pro" w:cs="Gotham Pro"/>
                <w:sz w:val="20"/>
                <w:szCs w:val="20"/>
                <w:lang w:eastAsia="uk-UA"/>
              </w:rPr>
              <w:t>8.1. Визначити власну винагороду кожному члену Наглядової ради Товариства в розмірі 0,25 ставки мінімальної заробітної плати та закріпити дану умову у цивільно-правових договорах як фіксовану винагороду.</w:t>
            </w:r>
          </w:p>
          <w:p w14:paraId="47E5B5E5" w14:textId="77777777" w:rsidR="00CB765F" w:rsidRPr="0012612D" w:rsidRDefault="00CB765F" w:rsidP="00761DF3">
            <w:pPr>
              <w:pStyle w:val="ad"/>
              <w:tabs>
                <w:tab w:val="left" w:pos="851"/>
              </w:tabs>
              <w:ind w:firstLine="0"/>
              <w:rPr>
                <w:rFonts w:ascii="Gotham Pro" w:hAnsi="Gotham Pro" w:cs="Gotham Pro"/>
                <w:sz w:val="20"/>
                <w:szCs w:val="20"/>
                <w:lang w:eastAsia="uk-UA"/>
              </w:rPr>
            </w:pPr>
            <w:r w:rsidRPr="0012612D">
              <w:rPr>
                <w:rFonts w:ascii="Gotham Pro" w:hAnsi="Gotham Pro" w:cs="Gotham Pro"/>
                <w:sz w:val="20"/>
                <w:szCs w:val="20"/>
                <w:lang w:eastAsia="uk-UA"/>
              </w:rPr>
              <w:t>8.2. Затвердити зміни до цивільно-правових договорів, укладених з членами Наглядової ради Товариства.</w:t>
            </w:r>
          </w:p>
          <w:p w14:paraId="527FFEFD" w14:textId="33FFDDE1" w:rsidR="00CB765F" w:rsidRPr="0017484A" w:rsidRDefault="00CB765F" w:rsidP="00AF749B">
            <w:pPr>
              <w:pStyle w:val="ad"/>
              <w:tabs>
                <w:tab w:val="left" w:pos="851"/>
              </w:tabs>
              <w:ind w:firstLine="0"/>
              <w:rPr>
                <w:rFonts w:ascii="Gotham Pro" w:hAnsi="Gotham Pro" w:cs="Gotham Pro"/>
                <w:sz w:val="20"/>
                <w:szCs w:val="20"/>
              </w:rPr>
            </w:pPr>
            <w:r w:rsidRPr="0012612D">
              <w:rPr>
                <w:rFonts w:ascii="Gotham Pro" w:hAnsi="Gotham Pro" w:cs="Gotham Pro"/>
                <w:sz w:val="20"/>
                <w:szCs w:val="20"/>
                <w:lang w:eastAsia="uk-UA"/>
              </w:rPr>
              <w:t>8.3. Обрати особою, яка уповноважується на укладання таких договорів з боку Товариства – Акціонера Товариства Пуда Сергія Олександровича.</w:t>
            </w:r>
          </w:p>
        </w:tc>
        <w:tc>
          <w:tcPr>
            <w:tcW w:w="1606" w:type="dxa"/>
          </w:tcPr>
          <w:p w14:paraId="1365FFDD"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lastRenderedPageBreak/>
              <w:t>"ЗА"</w:t>
            </w:r>
          </w:p>
          <w:p w14:paraId="4B156D7E"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10165B0F"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44B01196"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319F77BE"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4DC17C1B"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12C2E79C"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5A3C104E"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4D4A68DC"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p>
        </w:tc>
        <w:tc>
          <w:tcPr>
            <w:tcW w:w="1503" w:type="dxa"/>
          </w:tcPr>
          <w:p w14:paraId="3AA5A8AC"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1B2D4609" w14:textId="77777777" w:rsidTr="00AF749B">
        <w:tblPrEx>
          <w:jc w:val="left"/>
        </w:tblPrEx>
        <w:trPr>
          <w:trHeight w:val="714"/>
        </w:trPr>
        <w:tc>
          <w:tcPr>
            <w:tcW w:w="781" w:type="dxa"/>
            <w:vMerge/>
          </w:tcPr>
          <w:p w14:paraId="64988E38"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4B94ECC3" w14:textId="77777777" w:rsidR="00CB765F" w:rsidRPr="0017484A" w:rsidRDefault="00CB765F" w:rsidP="00AF749B">
            <w:pPr>
              <w:pStyle w:val="ad"/>
              <w:tabs>
                <w:tab w:val="left" w:pos="851"/>
              </w:tabs>
              <w:ind w:firstLine="0"/>
              <w:rPr>
                <w:rFonts w:ascii="Gotham Pro" w:hAnsi="Gotham Pro" w:cs="Gotham Pro"/>
                <w:sz w:val="20"/>
                <w:szCs w:val="20"/>
              </w:rPr>
            </w:pPr>
          </w:p>
        </w:tc>
        <w:tc>
          <w:tcPr>
            <w:tcW w:w="1606" w:type="dxa"/>
          </w:tcPr>
          <w:p w14:paraId="2B4BC4B7" w14:textId="0974D40E" w:rsidR="00CB765F" w:rsidRPr="00CB765F" w:rsidRDefault="00CB765F" w:rsidP="00AF749B">
            <w:pPr>
              <w:pStyle w:val="Body"/>
              <w:numPr>
                <w:ilvl w:val="0"/>
                <w:numId w:val="0"/>
              </w:numPr>
              <w:spacing w:before="0" w:after="0" w:line="240" w:lineRule="auto"/>
              <w:jc w:val="center"/>
              <w:rPr>
                <w:rFonts w:ascii="Gotham Pro" w:hAnsi="Gotham Pro" w:cs="Gotham Pro"/>
                <w:b/>
                <w:szCs w:val="20"/>
              </w:rPr>
            </w:pPr>
            <w:r w:rsidRPr="0017484A">
              <w:rPr>
                <w:rFonts w:ascii="Gotham Pro" w:hAnsi="Gotham Pro" w:cs="Gotham Pro"/>
                <w:b/>
                <w:szCs w:val="20"/>
                <w:lang w:val="uk-UA"/>
              </w:rPr>
              <w:t>"</w:t>
            </w:r>
            <w:r>
              <w:rPr>
                <w:rFonts w:ascii="Gotham Pro" w:hAnsi="Gotham Pro" w:cs="Gotham Pro"/>
                <w:b/>
                <w:szCs w:val="20"/>
                <w:lang w:val="uk-UA"/>
              </w:rPr>
              <w:t>ПРОТИ</w:t>
            </w:r>
            <w:r w:rsidRPr="0017484A">
              <w:rPr>
                <w:rFonts w:ascii="Gotham Pro" w:hAnsi="Gotham Pro" w:cs="Gotham Pro"/>
                <w:b/>
                <w:szCs w:val="20"/>
                <w:lang w:val="uk-UA"/>
              </w:rPr>
              <w:t>"</w:t>
            </w:r>
          </w:p>
        </w:tc>
        <w:tc>
          <w:tcPr>
            <w:tcW w:w="1503" w:type="dxa"/>
          </w:tcPr>
          <w:p w14:paraId="14C66C16"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7EC85915" w14:textId="77777777" w:rsidTr="00AF749B">
        <w:tblPrEx>
          <w:jc w:val="left"/>
        </w:tblPrEx>
        <w:trPr>
          <w:trHeight w:val="714"/>
        </w:trPr>
        <w:tc>
          <w:tcPr>
            <w:tcW w:w="781" w:type="dxa"/>
            <w:vMerge w:val="restart"/>
          </w:tcPr>
          <w:p w14:paraId="32E48A08"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9</w:t>
            </w:r>
          </w:p>
        </w:tc>
        <w:tc>
          <w:tcPr>
            <w:tcW w:w="6147" w:type="dxa"/>
            <w:vMerge w:val="restart"/>
          </w:tcPr>
          <w:p w14:paraId="049028AE" w14:textId="77777777" w:rsidR="00CB765F" w:rsidRDefault="00CB765F" w:rsidP="00AF749B">
            <w:pPr>
              <w:pStyle w:val="ad"/>
              <w:tabs>
                <w:tab w:val="left" w:pos="851"/>
              </w:tabs>
              <w:rPr>
                <w:rFonts w:ascii="Gotham Pro" w:hAnsi="Gotham Pro" w:cs="Gotham Pro"/>
                <w:b/>
                <w:sz w:val="20"/>
                <w:szCs w:val="20"/>
              </w:rPr>
            </w:pPr>
            <w:r w:rsidRPr="0012612D">
              <w:rPr>
                <w:rFonts w:ascii="Gotham Pro" w:hAnsi="Gotham Pro" w:cs="Gotham Pro"/>
                <w:b/>
                <w:sz w:val="20"/>
                <w:szCs w:val="20"/>
              </w:rPr>
              <w:t xml:space="preserve">Про </w:t>
            </w:r>
            <w:r>
              <w:rPr>
                <w:rFonts w:ascii="Gotham Pro" w:hAnsi="Gotham Pro" w:cs="Gotham Pro"/>
                <w:b/>
                <w:sz w:val="20"/>
                <w:szCs w:val="20"/>
              </w:rPr>
              <w:t>припинення повноважень ревізора Товариства.</w:t>
            </w:r>
          </w:p>
          <w:p w14:paraId="29755189" w14:textId="77777777" w:rsidR="00CB765F" w:rsidRDefault="00CB765F" w:rsidP="00AF749B">
            <w:pPr>
              <w:pStyle w:val="ad"/>
              <w:tabs>
                <w:tab w:val="left" w:pos="851"/>
              </w:tabs>
              <w:rPr>
                <w:rFonts w:ascii="Gotham Pro" w:hAnsi="Gotham Pro" w:cs="Gotham Pro"/>
                <w:sz w:val="20"/>
                <w:szCs w:val="20"/>
              </w:rPr>
            </w:pPr>
            <w:proofErr w:type="spellStart"/>
            <w:r w:rsidRPr="0017484A">
              <w:rPr>
                <w:rFonts w:ascii="Gotham Pro" w:hAnsi="Gotham Pro" w:cs="Gotham Pro"/>
                <w:sz w:val="20"/>
                <w:szCs w:val="20"/>
                <w:u w:val="single"/>
                <w:lang w:eastAsia="uk-UA"/>
              </w:rPr>
              <w:t>Про</w:t>
            </w:r>
            <w:r>
              <w:rPr>
                <w:rFonts w:ascii="Gotham Pro" w:hAnsi="Gotham Pro" w:cs="Gotham Pro"/>
                <w:sz w:val="20"/>
                <w:szCs w:val="20"/>
                <w:u w:val="single"/>
                <w:lang w:eastAsia="uk-UA"/>
              </w:rPr>
              <w:t>є</w:t>
            </w:r>
            <w:r w:rsidRPr="0017484A">
              <w:rPr>
                <w:rFonts w:ascii="Gotham Pro" w:hAnsi="Gotham Pro" w:cs="Gotham Pro"/>
                <w:sz w:val="20"/>
                <w:szCs w:val="20"/>
                <w:u w:val="single"/>
                <w:lang w:eastAsia="uk-UA"/>
              </w:rPr>
              <w:t>кт</w:t>
            </w:r>
            <w:proofErr w:type="spellEnd"/>
            <w:r w:rsidRPr="0017484A">
              <w:rPr>
                <w:rFonts w:ascii="Gotham Pro" w:hAnsi="Gotham Pro" w:cs="Gotham Pro"/>
                <w:sz w:val="20"/>
                <w:szCs w:val="20"/>
                <w:u w:val="single"/>
                <w:lang w:eastAsia="uk-UA"/>
              </w:rPr>
              <w:t xml:space="preserve"> рішення №1 з питання №</w:t>
            </w:r>
            <w:r>
              <w:rPr>
                <w:rFonts w:ascii="Gotham Pro" w:hAnsi="Gotham Pro" w:cs="Gotham Pro"/>
                <w:sz w:val="20"/>
                <w:szCs w:val="20"/>
                <w:u w:val="single"/>
                <w:lang w:eastAsia="uk-UA"/>
              </w:rPr>
              <w:t>9</w:t>
            </w:r>
            <w:r w:rsidRPr="0017484A">
              <w:rPr>
                <w:rFonts w:ascii="Gotham Pro" w:hAnsi="Gotham Pro" w:cs="Gotham Pro"/>
                <w:sz w:val="20"/>
                <w:szCs w:val="20"/>
                <w:u w:val="single"/>
                <w:lang w:eastAsia="uk-UA"/>
              </w:rPr>
              <w:t>:</w:t>
            </w:r>
            <w:r w:rsidRPr="0017484A">
              <w:rPr>
                <w:rFonts w:ascii="Gotham Pro" w:hAnsi="Gotham Pro" w:cs="Gotham Pro"/>
                <w:sz w:val="20"/>
                <w:szCs w:val="20"/>
              </w:rPr>
              <w:t xml:space="preserve"> </w:t>
            </w:r>
          </w:p>
          <w:p w14:paraId="14C5C2B3" w14:textId="77777777" w:rsidR="00CB765F" w:rsidRPr="0017484A" w:rsidRDefault="00CB765F" w:rsidP="00AF749B">
            <w:pPr>
              <w:pStyle w:val="ad"/>
              <w:tabs>
                <w:tab w:val="left" w:pos="851"/>
              </w:tabs>
              <w:ind w:firstLine="0"/>
              <w:rPr>
                <w:rFonts w:ascii="Gotham Pro" w:hAnsi="Gotham Pro" w:cs="Gotham Pro"/>
                <w:sz w:val="20"/>
                <w:szCs w:val="20"/>
              </w:rPr>
            </w:pPr>
            <w:r w:rsidRPr="00AD39EC">
              <w:rPr>
                <w:rFonts w:ascii="Gotham Pro" w:hAnsi="Gotham Pro" w:cs="Gotham Pro"/>
                <w:sz w:val="20"/>
                <w:szCs w:val="20"/>
                <w:lang w:eastAsia="uk-UA"/>
              </w:rPr>
              <w:t xml:space="preserve">Припинити повноваження ревізора Товариства </w:t>
            </w:r>
            <w:proofErr w:type="spellStart"/>
            <w:r w:rsidRPr="00AD39EC">
              <w:rPr>
                <w:rFonts w:ascii="Gotham Pro" w:hAnsi="Gotham Pro" w:cs="Gotham Pro"/>
                <w:sz w:val="20"/>
                <w:szCs w:val="20"/>
                <w:lang w:eastAsia="uk-UA"/>
              </w:rPr>
              <w:t>Верховського</w:t>
            </w:r>
            <w:proofErr w:type="spellEnd"/>
            <w:r w:rsidRPr="00AD39EC">
              <w:rPr>
                <w:rFonts w:ascii="Gotham Pro" w:hAnsi="Gotham Pro" w:cs="Gotham Pro"/>
                <w:sz w:val="20"/>
                <w:szCs w:val="20"/>
                <w:lang w:eastAsia="uk-UA"/>
              </w:rPr>
              <w:t xml:space="preserve"> Олега Володимировича.</w:t>
            </w:r>
          </w:p>
        </w:tc>
        <w:tc>
          <w:tcPr>
            <w:tcW w:w="1606" w:type="dxa"/>
          </w:tcPr>
          <w:p w14:paraId="01CAFCE9"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"ЗА"</w:t>
            </w:r>
          </w:p>
          <w:p w14:paraId="63552CBE"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55A25469"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4F8D1364"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722DB599"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5E9C995A"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38B40BC1"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6E33C0D4"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52797D6D"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p>
        </w:tc>
        <w:tc>
          <w:tcPr>
            <w:tcW w:w="1503" w:type="dxa"/>
          </w:tcPr>
          <w:p w14:paraId="19CD948B"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3207335B" w14:textId="77777777" w:rsidTr="00AF749B">
        <w:tblPrEx>
          <w:jc w:val="left"/>
        </w:tblPrEx>
        <w:trPr>
          <w:trHeight w:val="714"/>
        </w:trPr>
        <w:tc>
          <w:tcPr>
            <w:tcW w:w="781" w:type="dxa"/>
            <w:vMerge/>
          </w:tcPr>
          <w:p w14:paraId="670E6A7F"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2F186B52" w14:textId="77777777" w:rsidR="00CB765F" w:rsidRPr="0017484A" w:rsidRDefault="00CB765F" w:rsidP="00AF749B">
            <w:pPr>
              <w:pStyle w:val="ad"/>
              <w:tabs>
                <w:tab w:val="left" w:pos="851"/>
              </w:tabs>
              <w:ind w:firstLine="0"/>
              <w:rPr>
                <w:rFonts w:ascii="Gotham Pro" w:hAnsi="Gotham Pro" w:cs="Gotham Pro"/>
                <w:sz w:val="20"/>
                <w:szCs w:val="20"/>
              </w:rPr>
            </w:pPr>
          </w:p>
        </w:tc>
        <w:tc>
          <w:tcPr>
            <w:tcW w:w="1606" w:type="dxa"/>
          </w:tcPr>
          <w:p w14:paraId="56D9F2D1" w14:textId="384A7988" w:rsidR="00CB765F" w:rsidRPr="00CB765F" w:rsidRDefault="00CB765F" w:rsidP="00AF749B">
            <w:pPr>
              <w:pStyle w:val="Body"/>
              <w:numPr>
                <w:ilvl w:val="0"/>
                <w:numId w:val="0"/>
              </w:numPr>
              <w:spacing w:before="0" w:after="0" w:line="240" w:lineRule="auto"/>
              <w:jc w:val="center"/>
              <w:rPr>
                <w:rFonts w:ascii="Gotham Pro" w:hAnsi="Gotham Pro" w:cs="Gotham Pro"/>
                <w:b/>
                <w:szCs w:val="20"/>
              </w:rPr>
            </w:pPr>
            <w:r w:rsidRPr="0017484A">
              <w:rPr>
                <w:rFonts w:ascii="Gotham Pro" w:hAnsi="Gotham Pro" w:cs="Gotham Pro"/>
                <w:b/>
                <w:szCs w:val="20"/>
                <w:lang w:val="uk-UA"/>
              </w:rPr>
              <w:t>"</w:t>
            </w:r>
            <w:r>
              <w:rPr>
                <w:rFonts w:ascii="Gotham Pro" w:hAnsi="Gotham Pro" w:cs="Gotham Pro"/>
                <w:b/>
                <w:szCs w:val="20"/>
                <w:lang w:val="uk-UA"/>
              </w:rPr>
              <w:t>ПРОТИ</w:t>
            </w:r>
            <w:r w:rsidRPr="0017484A">
              <w:rPr>
                <w:rFonts w:ascii="Gotham Pro" w:hAnsi="Gotham Pro" w:cs="Gotham Pro"/>
                <w:b/>
                <w:szCs w:val="20"/>
                <w:lang w:val="uk-UA"/>
              </w:rPr>
              <w:t>"</w:t>
            </w:r>
          </w:p>
        </w:tc>
        <w:tc>
          <w:tcPr>
            <w:tcW w:w="1503" w:type="dxa"/>
          </w:tcPr>
          <w:p w14:paraId="02452774"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6024DA9C" w14:textId="77777777" w:rsidTr="00AF749B">
        <w:tblPrEx>
          <w:jc w:val="left"/>
        </w:tblPrEx>
        <w:trPr>
          <w:trHeight w:val="714"/>
        </w:trPr>
        <w:tc>
          <w:tcPr>
            <w:tcW w:w="781" w:type="dxa"/>
            <w:vMerge w:val="restart"/>
          </w:tcPr>
          <w:p w14:paraId="5949F5F6"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10</w:t>
            </w:r>
          </w:p>
        </w:tc>
        <w:tc>
          <w:tcPr>
            <w:tcW w:w="6147" w:type="dxa"/>
            <w:vMerge w:val="restart"/>
          </w:tcPr>
          <w:p w14:paraId="056DCF4A" w14:textId="77777777" w:rsidR="00CB765F" w:rsidRDefault="00CB765F" w:rsidP="00AF749B">
            <w:pPr>
              <w:pStyle w:val="ad"/>
              <w:tabs>
                <w:tab w:val="left" w:pos="851"/>
              </w:tabs>
              <w:rPr>
                <w:rFonts w:ascii="Gotham Pro" w:hAnsi="Gotham Pro" w:cs="Gotham Pro"/>
                <w:b/>
                <w:sz w:val="20"/>
                <w:szCs w:val="20"/>
              </w:rPr>
            </w:pPr>
            <w:r w:rsidRPr="00AD39EC">
              <w:rPr>
                <w:rFonts w:ascii="Gotham Pro" w:hAnsi="Gotham Pro" w:cs="Gotham Pro"/>
                <w:b/>
                <w:sz w:val="20"/>
                <w:szCs w:val="20"/>
              </w:rPr>
              <w:t xml:space="preserve">Звіт про </w:t>
            </w:r>
            <w:proofErr w:type="spellStart"/>
            <w:r w:rsidRPr="00AD39EC">
              <w:rPr>
                <w:rFonts w:ascii="Gotham Pro" w:hAnsi="Gotham Pro" w:cs="Gotham Pro"/>
                <w:b/>
                <w:sz w:val="20"/>
                <w:szCs w:val="20"/>
              </w:rPr>
              <w:t>комплаєнс</w:t>
            </w:r>
            <w:proofErr w:type="spellEnd"/>
            <w:r w:rsidRPr="00AD39EC">
              <w:rPr>
                <w:rFonts w:ascii="Gotham Pro" w:hAnsi="Gotham Pro" w:cs="Gotham Pro"/>
                <w:b/>
                <w:sz w:val="20"/>
                <w:szCs w:val="20"/>
              </w:rPr>
              <w:t xml:space="preserve"> за 2025 рік, Звіт про управління ризиками за 2025 рік, Звіт щодо внутрішнього аудиту (Висновок внутрішнього аудитора) за 2025 рік.</w:t>
            </w:r>
          </w:p>
          <w:p w14:paraId="60B5F317" w14:textId="77777777" w:rsidR="00CB765F" w:rsidRDefault="00CB765F" w:rsidP="00AF749B">
            <w:pPr>
              <w:pStyle w:val="ad"/>
              <w:tabs>
                <w:tab w:val="left" w:pos="851"/>
              </w:tabs>
              <w:rPr>
                <w:rFonts w:ascii="Gotham Pro" w:hAnsi="Gotham Pro" w:cs="Gotham Pro"/>
                <w:sz w:val="20"/>
                <w:szCs w:val="20"/>
              </w:rPr>
            </w:pPr>
            <w:proofErr w:type="spellStart"/>
            <w:r w:rsidRPr="0017484A">
              <w:rPr>
                <w:rFonts w:ascii="Gotham Pro" w:hAnsi="Gotham Pro" w:cs="Gotham Pro"/>
                <w:sz w:val="20"/>
                <w:szCs w:val="20"/>
                <w:u w:val="single"/>
                <w:lang w:eastAsia="uk-UA"/>
              </w:rPr>
              <w:t>Про</w:t>
            </w:r>
            <w:r>
              <w:rPr>
                <w:rFonts w:ascii="Gotham Pro" w:hAnsi="Gotham Pro" w:cs="Gotham Pro"/>
                <w:sz w:val="20"/>
                <w:szCs w:val="20"/>
                <w:u w:val="single"/>
                <w:lang w:eastAsia="uk-UA"/>
              </w:rPr>
              <w:t>є</w:t>
            </w:r>
            <w:r w:rsidRPr="0017484A">
              <w:rPr>
                <w:rFonts w:ascii="Gotham Pro" w:hAnsi="Gotham Pro" w:cs="Gotham Pro"/>
                <w:sz w:val="20"/>
                <w:szCs w:val="20"/>
                <w:u w:val="single"/>
                <w:lang w:eastAsia="uk-UA"/>
              </w:rPr>
              <w:t>кт</w:t>
            </w:r>
            <w:proofErr w:type="spellEnd"/>
            <w:r w:rsidRPr="0017484A">
              <w:rPr>
                <w:rFonts w:ascii="Gotham Pro" w:hAnsi="Gotham Pro" w:cs="Gotham Pro"/>
                <w:sz w:val="20"/>
                <w:szCs w:val="20"/>
                <w:u w:val="single"/>
                <w:lang w:eastAsia="uk-UA"/>
              </w:rPr>
              <w:t xml:space="preserve"> рішення №1 з питання №</w:t>
            </w:r>
            <w:r>
              <w:rPr>
                <w:rFonts w:ascii="Gotham Pro" w:hAnsi="Gotham Pro" w:cs="Gotham Pro"/>
                <w:sz w:val="20"/>
                <w:szCs w:val="20"/>
                <w:u w:val="single"/>
                <w:lang w:eastAsia="uk-UA"/>
              </w:rPr>
              <w:t>10</w:t>
            </w:r>
            <w:r w:rsidRPr="0017484A">
              <w:rPr>
                <w:rFonts w:ascii="Gotham Pro" w:hAnsi="Gotham Pro" w:cs="Gotham Pro"/>
                <w:sz w:val="20"/>
                <w:szCs w:val="20"/>
                <w:u w:val="single"/>
                <w:lang w:eastAsia="uk-UA"/>
              </w:rPr>
              <w:t>:</w:t>
            </w:r>
            <w:r w:rsidRPr="0017484A">
              <w:rPr>
                <w:rFonts w:ascii="Gotham Pro" w:hAnsi="Gotham Pro" w:cs="Gotham Pro"/>
                <w:sz w:val="20"/>
                <w:szCs w:val="20"/>
              </w:rPr>
              <w:t xml:space="preserve"> </w:t>
            </w:r>
          </w:p>
          <w:p w14:paraId="3F3BB5D0" w14:textId="77777777" w:rsidR="00CB765F" w:rsidRPr="00AD39EC" w:rsidRDefault="00CB765F" w:rsidP="00AF749B">
            <w:pPr>
              <w:pStyle w:val="ad"/>
              <w:tabs>
                <w:tab w:val="left" w:pos="851"/>
              </w:tabs>
              <w:ind w:firstLine="0"/>
              <w:rPr>
                <w:rFonts w:ascii="Gotham Pro" w:hAnsi="Gotham Pro" w:cs="Gotham Pro"/>
                <w:sz w:val="20"/>
                <w:szCs w:val="20"/>
                <w:lang w:eastAsia="uk-UA"/>
              </w:rPr>
            </w:pPr>
            <w:r>
              <w:rPr>
                <w:rFonts w:ascii="Gotham Pro" w:hAnsi="Gotham Pro" w:cs="Gotham Pro"/>
                <w:sz w:val="20"/>
                <w:szCs w:val="20"/>
                <w:lang w:eastAsia="uk-UA"/>
              </w:rPr>
              <w:t>1</w:t>
            </w:r>
            <w:r w:rsidRPr="00AD39EC">
              <w:rPr>
                <w:rFonts w:ascii="Gotham Pro" w:hAnsi="Gotham Pro" w:cs="Gotham Pro"/>
                <w:sz w:val="20"/>
                <w:szCs w:val="20"/>
                <w:lang w:eastAsia="uk-UA"/>
              </w:rPr>
              <w:t xml:space="preserve">0.1. Затвердити Звіт про </w:t>
            </w:r>
            <w:proofErr w:type="spellStart"/>
            <w:r w:rsidRPr="00AD39EC">
              <w:rPr>
                <w:rFonts w:ascii="Gotham Pro" w:hAnsi="Gotham Pro" w:cs="Gotham Pro"/>
                <w:sz w:val="20"/>
                <w:szCs w:val="20"/>
                <w:lang w:eastAsia="uk-UA"/>
              </w:rPr>
              <w:t>комплаєнс</w:t>
            </w:r>
            <w:proofErr w:type="spellEnd"/>
            <w:r w:rsidRPr="00AD39EC">
              <w:rPr>
                <w:rFonts w:ascii="Gotham Pro" w:hAnsi="Gotham Pro" w:cs="Gotham Pro"/>
                <w:sz w:val="20"/>
                <w:szCs w:val="20"/>
                <w:lang w:eastAsia="uk-UA"/>
              </w:rPr>
              <w:t xml:space="preserve"> за 2025 рік, </w:t>
            </w:r>
          </w:p>
          <w:p w14:paraId="70BABB16" w14:textId="77777777" w:rsidR="00CB765F" w:rsidRPr="00AD39EC" w:rsidRDefault="00CB765F" w:rsidP="00AF749B">
            <w:pPr>
              <w:pStyle w:val="ad"/>
              <w:tabs>
                <w:tab w:val="left" w:pos="851"/>
              </w:tabs>
              <w:ind w:firstLine="0"/>
              <w:rPr>
                <w:rFonts w:ascii="Gotham Pro" w:hAnsi="Gotham Pro" w:cs="Gotham Pro"/>
                <w:sz w:val="20"/>
                <w:szCs w:val="20"/>
                <w:lang w:eastAsia="uk-UA"/>
              </w:rPr>
            </w:pPr>
            <w:r w:rsidRPr="00AD39EC">
              <w:rPr>
                <w:rFonts w:ascii="Gotham Pro" w:hAnsi="Gotham Pro" w:cs="Gotham Pro"/>
                <w:sz w:val="20"/>
                <w:szCs w:val="20"/>
                <w:lang w:eastAsia="uk-UA"/>
              </w:rPr>
              <w:t>10.2. Затвердити Звіт про управління ризиками за 2025 рік,</w:t>
            </w:r>
          </w:p>
          <w:p w14:paraId="46A8229E" w14:textId="58ED2C77" w:rsidR="00CB765F" w:rsidRPr="0017484A" w:rsidRDefault="00CB765F" w:rsidP="00AF749B">
            <w:pPr>
              <w:pStyle w:val="ad"/>
              <w:tabs>
                <w:tab w:val="left" w:pos="851"/>
              </w:tabs>
              <w:ind w:firstLine="0"/>
              <w:rPr>
                <w:rFonts w:ascii="Gotham Pro" w:hAnsi="Gotham Pro" w:cs="Gotham Pro"/>
                <w:sz w:val="20"/>
                <w:szCs w:val="20"/>
              </w:rPr>
            </w:pPr>
            <w:r w:rsidRPr="00AD39EC">
              <w:rPr>
                <w:rFonts w:ascii="Gotham Pro" w:hAnsi="Gotham Pro" w:cs="Gotham Pro"/>
                <w:sz w:val="20"/>
                <w:szCs w:val="20"/>
                <w:lang w:eastAsia="uk-UA"/>
              </w:rPr>
              <w:t>10.3. Затвердити Звіт щодо внутрішнього аудиту (Висновок внутрішнього аудитора) за 2025 рік.</w:t>
            </w:r>
          </w:p>
        </w:tc>
        <w:tc>
          <w:tcPr>
            <w:tcW w:w="1606" w:type="dxa"/>
          </w:tcPr>
          <w:p w14:paraId="3B44E955"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r w:rsidRPr="0017484A">
              <w:rPr>
                <w:rFonts w:ascii="Gotham Pro" w:hAnsi="Gotham Pro" w:cs="Gotham Pro"/>
                <w:b/>
                <w:szCs w:val="20"/>
                <w:lang w:val="uk-UA"/>
              </w:rPr>
              <w:t>"ЗА"</w:t>
            </w:r>
          </w:p>
          <w:p w14:paraId="5DB824DD"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7C6B1AF5"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33F61FB1"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042A985B"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7123805F"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7A00A7E1"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06356E2F" w14:textId="77777777" w:rsidR="00CB765F" w:rsidRDefault="00CB765F" w:rsidP="00AF749B">
            <w:pPr>
              <w:pStyle w:val="Body"/>
              <w:numPr>
                <w:ilvl w:val="0"/>
                <w:numId w:val="0"/>
              </w:numPr>
              <w:spacing w:before="0" w:after="0" w:line="240" w:lineRule="auto"/>
              <w:jc w:val="center"/>
              <w:rPr>
                <w:rFonts w:ascii="Gotham Pro" w:hAnsi="Gotham Pro" w:cs="Gotham Pro"/>
                <w:b/>
                <w:szCs w:val="20"/>
                <w:lang w:val="uk-UA"/>
              </w:rPr>
            </w:pPr>
          </w:p>
          <w:p w14:paraId="4AD0B5E6" w14:textId="77777777" w:rsidR="00CB765F" w:rsidRPr="0017484A" w:rsidRDefault="00CB765F" w:rsidP="00AF749B">
            <w:pPr>
              <w:pStyle w:val="Body"/>
              <w:numPr>
                <w:ilvl w:val="0"/>
                <w:numId w:val="0"/>
              </w:numPr>
              <w:spacing w:before="0" w:after="0" w:line="240" w:lineRule="auto"/>
              <w:jc w:val="center"/>
              <w:rPr>
                <w:rFonts w:ascii="Gotham Pro" w:hAnsi="Gotham Pro" w:cs="Gotham Pro"/>
                <w:b/>
                <w:szCs w:val="20"/>
                <w:lang w:val="uk-UA"/>
              </w:rPr>
            </w:pPr>
          </w:p>
        </w:tc>
        <w:tc>
          <w:tcPr>
            <w:tcW w:w="1503" w:type="dxa"/>
          </w:tcPr>
          <w:p w14:paraId="43DF1491"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r w:rsidR="00CB765F" w:rsidRPr="0017484A" w14:paraId="0919E4BE" w14:textId="77777777" w:rsidTr="00AF749B">
        <w:tblPrEx>
          <w:jc w:val="left"/>
        </w:tblPrEx>
        <w:trPr>
          <w:trHeight w:val="714"/>
        </w:trPr>
        <w:tc>
          <w:tcPr>
            <w:tcW w:w="781" w:type="dxa"/>
            <w:vMerge/>
          </w:tcPr>
          <w:p w14:paraId="00E38E02"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c>
          <w:tcPr>
            <w:tcW w:w="6147" w:type="dxa"/>
            <w:vMerge/>
          </w:tcPr>
          <w:p w14:paraId="34CB9574" w14:textId="77777777" w:rsidR="00CB765F" w:rsidRPr="0017484A" w:rsidRDefault="00CB765F" w:rsidP="00AF749B">
            <w:pPr>
              <w:pStyle w:val="ad"/>
              <w:tabs>
                <w:tab w:val="left" w:pos="851"/>
              </w:tabs>
              <w:ind w:firstLine="0"/>
              <w:rPr>
                <w:rFonts w:ascii="Gotham Pro" w:hAnsi="Gotham Pro" w:cs="Gotham Pro"/>
                <w:sz w:val="20"/>
                <w:szCs w:val="20"/>
              </w:rPr>
            </w:pPr>
          </w:p>
        </w:tc>
        <w:tc>
          <w:tcPr>
            <w:tcW w:w="1606" w:type="dxa"/>
          </w:tcPr>
          <w:p w14:paraId="01315BDC" w14:textId="44538EEF" w:rsidR="00CB765F" w:rsidRPr="00CB765F" w:rsidRDefault="00CB765F" w:rsidP="00AF749B">
            <w:pPr>
              <w:pStyle w:val="Body"/>
              <w:numPr>
                <w:ilvl w:val="0"/>
                <w:numId w:val="0"/>
              </w:numPr>
              <w:spacing w:before="0" w:after="0" w:line="240" w:lineRule="auto"/>
              <w:jc w:val="center"/>
              <w:rPr>
                <w:rFonts w:ascii="Gotham Pro" w:hAnsi="Gotham Pro" w:cs="Gotham Pro"/>
                <w:b/>
                <w:szCs w:val="20"/>
              </w:rPr>
            </w:pPr>
            <w:r w:rsidRPr="0017484A">
              <w:rPr>
                <w:rFonts w:ascii="Gotham Pro" w:hAnsi="Gotham Pro" w:cs="Gotham Pro"/>
                <w:b/>
                <w:szCs w:val="20"/>
                <w:lang w:val="uk-UA"/>
              </w:rPr>
              <w:t>"</w:t>
            </w:r>
            <w:r>
              <w:rPr>
                <w:rFonts w:ascii="Gotham Pro" w:hAnsi="Gotham Pro" w:cs="Gotham Pro"/>
                <w:b/>
                <w:szCs w:val="20"/>
                <w:lang w:val="uk-UA"/>
              </w:rPr>
              <w:t>ПРОТИ</w:t>
            </w:r>
            <w:r w:rsidRPr="0017484A">
              <w:rPr>
                <w:rFonts w:ascii="Gotham Pro" w:hAnsi="Gotham Pro" w:cs="Gotham Pro"/>
                <w:b/>
                <w:szCs w:val="20"/>
                <w:lang w:val="uk-UA"/>
              </w:rPr>
              <w:t>"</w:t>
            </w:r>
          </w:p>
        </w:tc>
        <w:tc>
          <w:tcPr>
            <w:tcW w:w="1503" w:type="dxa"/>
          </w:tcPr>
          <w:p w14:paraId="5D9DC84C" w14:textId="77777777" w:rsidR="00CB765F" w:rsidRPr="0017484A" w:rsidRDefault="00CB765F" w:rsidP="00AF749B">
            <w:pPr>
              <w:pStyle w:val="Body"/>
              <w:numPr>
                <w:ilvl w:val="0"/>
                <w:numId w:val="0"/>
              </w:numPr>
              <w:spacing w:before="0" w:after="0" w:line="240" w:lineRule="auto"/>
              <w:jc w:val="center"/>
              <w:rPr>
                <w:rFonts w:ascii="Gotham Pro" w:hAnsi="Gotham Pro" w:cs="Gotham Pro"/>
                <w:bCs/>
                <w:szCs w:val="20"/>
                <w:lang w:val="uk-UA"/>
              </w:rPr>
            </w:pPr>
          </w:p>
        </w:tc>
      </w:tr>
    </w:tbl>
    <w:p w14:paraId="4168FB2E" w14:textId="77777777" w:rsidR="00CB765F" w:rsidRDefault="00CB765F" w:rsidP="00CB765F">
      <w:pPr>
        <w:pBdr>
          <w:bottom w:val="double" w:sz="12" w:space="0" w:color="auto"/>
        </w:pBdr>
        <w:rPr>
          <w:rFonts w:ascii="Gotham Pro" w:hAnsi="Gotham Pro" w:cs="Gotham Pro"/>
          <w:b/>
          <w:i/>
          <w:sz w:val="20"/>
        </w:rPr>
      </w:pPr>
    </w:p>
    <w:p w14:paraId="7378E95A" w14:textId="77777777" w:rsidR="00CB765F" w:rsidRDefault="00CB765F" w:rsidP="00CB765F">
      <w:pPr>
        <w:pBdr>
          <w:bottom w:val="double" w:sz="12" w:space="0" w:color="auto"/>
        </w:pBdr>
        <w:rPr>
          <w:rFonts w:ascii="Gotham Pro" w:hAnsi="Gotham Pro" w:cs="Gotham Pro"/>
          <w:b/>
          <w:i/>
          <w:sz w:val="20"/>
        </w:rPr>
      </w:pPr>
      <w:r w:rsidRPr="00B34823">
        <w:rPr>
          <w:rFonts w:ascii="Gotham Pro" w:hAnsi="Gotham Pro" w:cs="Gotham Pro"/>
          <w:b/>
          <w:i/>
          <w:sz w:val="20"/>
        </w:rPr>
        <w:t>Підпис акціонера (представника акціонера) _________________</w:t>
      </w:r>
      <w:r>
        <w:rPr>
          <w:rFonts w:ascii="Gotham Pro" w:hAnsi="Gotham Pro" w:cs="Gotham Pro"/>
          <w:b/>
          <w:i/>
          <w:sz w:val="20"/>
        </w:rPr>
        <w:t>/______________________.</w:t>
      </w:r>
      <w:r w:rsidRPr="00B34823">
        <w:rPr>
          <w:rFonts w:ascii="Gotham Pro" w:hAnsi="Gotham Pro" w:cs="Gotham Pro"/>
          <w:b/>
          <w:i/>
          <w:sz w:val="20"/>
        </w:rPr>
        <w:t>/</w:t>
      </w:r>
    </w:p>
    <w:p w14:paraId="009D1324" w14:textId="77777777" w:rsidR="00CB765F" w:rsidRPr="00B34823" w:rsidRDefault="00CB765F" w:rsidP="00CB765F">
      <w:pPr>
        <w:pBdr>
          <w:bottom w:val="double" w:sz="12" w:space="0" w:color="auto"/>
        </w:pBdr>
        <w:jc w:val="center"/>
        <w:rPr>
          <w:rFonts w:ascii="Gotham Pro" w:hAnsi="Gotham Pro" w:cs="Gotham Pro"/>
          <w:b/>
          <w:i/>
          <w:sz w:val="20"/>
        </w:rPr>
      </w:pPr>
    </w:p>
    <w:p w14:paraId="24F3FFDB" w14:textId="77777777" w:rsidR="00CB765F" w:rsidRPr="00C844F7" w:rsidRDefault="00CB765F" w:rsidP="00CB765F">
      <w:pPr>
        <w:pBdr>
          <w:bottom w:val="double" w:sz="12" w:space="0" w:color="auto"/>
        </w:pBdr>
        <w:jc w:val="center"/>
        <w:rPr>
          <w:sz w:val="4"/>
        </w:rPr>
      </w:pPr>
    </w:p>
    <w:p w14:paraId="3FAB3BBE" w14:textId="77777777" w:rsidR="00CB765F" w:rsidRPr="004F7C01" w:rsidRDefault="00CB765F" w:rsidP="00CB765F">
      <w:pPr>
        <w:pStyle w:val="51"/>
        <w:spacing w:after="0" w:line="240" w:lineRule="exact"/>
        <w:ind w:right="-70"/>
        <w:rPr>
          <w:rFonts w:ascii="Gotham Pro" w:hAnsi="Gotham Pro" w:cs="Gotham Pro"/>
          <w:i/>
          <w:sz w:val="24"/>
          <w:szCs w:val="24"/>
          <w:lang w:val="uk-UA"/>
        </w:rPr>
      </w:pPr>
      <w:r w:rsidRPr="004F7C01">
        <w:rPr>
          <w:rFonts w:ascii="Gotham Pro" w:hAnsi="Gotham Pro" w:cs="Gotham Pro"/>
          <w:i/>
          <w:sz w:val="24"/>
          <w:szCs w:val="24"/>
          <w:lang w:val="uk-UA"/>
        </w:rPr>
        <w:t>УВАГА!!!</w:t>
      </w:r>
    </w:p>
    <w:p w14:paraId="7AC4E439" w14:textId="271FBC6F" w:rsidR="00F12C76" w:rsidRDefault="00CB765F" w:rsidP="00CB765F">
      <w:pPr>
        <w:spacing w:after="0"/>
        <w:ind w:firstLine="709"/>
        <w:jc w:val="both"/>
      </w:pPr>
      <w:r w:rsidRPr="004F7C01">
        <w:rPr>
          <w:rFonts w:ascii="Gotham Pro" w:hAnsi="Gotham Pro" w:cs="Gotham Pro"/>
          <w:b/>
          <w:bCs/>
          <w:color w:val="000000"/>
          <w:sz w:val="20"/>
        </w:rPr>
        <w:t>БЮЛЕТЕНЬ</w:t>
      </w:r>
      <w:r w:rsidRPr="004F7C01">
        <w:rPr>
          <w:rFonts w:ascii="Gotham Pro" w:hAnsi="Gotham Pro" w:cs="Gotham Pro"/>
          <w:color w:val="000000"/>
          <w:sz w:val="20"/>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w:t>
      </w:r>
      <w:r>
        <w:rPr>
          <w:rFonts w:ascii="Gotham Pro" w:hAnsi="Gotham Pro" w:cs="Gotham Pro"/>
          <w:color w:val="000000"/>
          <w:sz w:val="20"/>
        </w:rPr>
        <w:t xml:space="preserve"> – БЮЛЕТЕНЬ</w:t>
      </w:r>
      <w:r w:rsidRPr="004F7C01">
        <w:rPr>
          <w:rFonts w:ascii="Gotham Pro" w:hAnsi="Gotham Pro" w:cs="Gotham Pro"/>
          <w:color w:val="000000"/>
          <w:sz w:val="20"/>
        </w:rPr>
        <w:t xml:space="preserve"> </w:t>
      </w:r>
      <w:r>
        <w:rPr>
          <w:rFonts w:ascii="Gotham Pro" w:hAnsi="Gotham Pro" w:cs="Gotham Pro"/>
          <w:color w:val="000000"/>
          <w:sz w:val="20"/>
        </w:rPr>
        <w:t>ВВАЖАЄТЬСЯ НЕДІЙСНИМ.</w:t>
      </w:r>
    </w:p>
    <w:sectPr w:rsidR="00F12C76" w:rsidSect="00CB765F">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0" w:usb1="5000204A" w:usb2="00000000" w:usb3="00000000" w:csb0="0000003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D7B"/>
    <w:multiLevelType w:val="hybridMultilevel"/>
    <w:tmpl w:val="341EBB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num w:numId="1" w16cid:durableId="1404446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1"/>
  </w:num>
  <w:num w:numId="3" w16cid:durableId="49364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5F"/>
    <w:rsid w:val="005C66E1"/>
    <w:rsid w:val="006C0B77"/>
    <w:rsid w:val="00761DF3"/>
    <w:rsid w:val="008242FF"/>
    <w:rsid w:val="008625FA"/>
    <w:rsid w:val="00870751"/>
    <w:rsid w:val="008E2E45"/>
    <w:rsid w:val="00922C48"/>
    <w:rsid w:val="00B37E28"/>
    <w:rsid w:val="00B83C0B"/>
    <w:rsid w:val="00B915B7"/>
    <w:rsid w:val="00CB765F"/>
    <w:rsid w:val="00DE23FD"/>
    <w:rsid w:val="00E86E51"/>
    <w:rsid w:val="00EA4A3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4A92"/>
  <w15:chartTrackingRefBased/>
  <w15:docId w15:val="{42A9AE1A-976E-4603-A2EB-45D164D1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65F"/>
    <w:pPr>
      <w:spacing w:after="200" w:line="276" w:lineRule="auto"/>
    </w:pPr>
    <w:rPr>
      <w:kern w:val="0"/>
      <w:lang w:val="uk-UA"/>
      <w14:ligatures w14:val="none"/>
    </w:rPr>
  </w:style>
  <w:style w:type="paragraph" w:styleId="1">
    <w:name w:val="heading 1"/>
    <w:basedOn w:val="a"/>
    <w:next w:val="a"/>
    <w:link w:val="10"/>
    <w:uiPriority w:val="9"/>
    <w:qFormat/>
    <w:rsid w:val="00CB76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B76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B765F"/>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rsid w:val="00CB765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B765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B76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6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6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6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65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B765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B765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B765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B765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B765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B765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B765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B765F"/>
    <w:rPr>
      <w:rFonts w:eastAsiaTheme="majorEastAsia" w:cstheme="majorBidi"/>
      <w:color w:val="272727" w:themeColor="text1" w:themeTint="D8"/>
      <w:sz w:val="28"/>
    </w:rPr>
  </w:style>
  <w:style w:type="paragraph" w:styleId="a3">
    <w:name w:val="Title"/>
    <w:basedOn w:val="a"/>
    <w:next w:val="a"/>
    <w:link w:val="a4"/>
    <w:uiPriority w:val="10"/>
    <w:qFormat/>
    <w:rsid w:val="00CB765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6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65F"/>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CB76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65F"/>
    <w:pPr>
      <w:spacing w:before="160"/>
      <w:jc w:val="center"/>
    </w:pPr>
    <w:rPr>
      <w:i/>
      <w:iCs/>
      <w:color w:val="404040" w:themeColor="text1" w:themeTint="BF"/>
    </w:rPr>
  </w:style>
  <w:style w:type="character" w:customStyle="1" w:styleId="22">
    <w:name w:val="Цитата 2 Знак"/>
    <w:basedOn w:val="a0"/>
    <w:link w:val="21"/>
    <w:uiPriority w:val="29"/>
    <w:rsid w:val="00CB765F"/>
    <w:rPr>
      <w:rFonts w:ascii="Times New Roman" w:hAnsi="Times New Roman"/>
      <w:i/>
      <w:iCs/>
      <w:color w:val="404040" w:themeColor="text1" w:themeTint="BF"/>
      <w:sz w:val="28"/>
    </w:rPr>
  </w:style>
  <w:style w:type="paragraph" w:styleId="a7">
    <w:name w:val="List Paragraph"/>
    <w:basedOn w:val="a"/>
    <w:uiPriority w:val="34"/>
    <w:qFormat/>
    <w:rsid w:val="00CB765F"/>
    <w:pPr>
      <w:ind w:left="720"/>
      <w:contextualSpacing/>
    </w:pPr>
  </w:style>
  <w:style w:type="character" w:styleId="a8">
    <w:name w:val="Intense Emphasis"/>
    <w:basedOn w:val="a0"/>
    <w:uiPriority w:val="21"/>
    <w:qFormat/>
    <w:rsid w:val="00CB765F"/>
    <w:rPr>
      <w:i/>
      <w:iCs/>
      <w:color w:val="2E74B5" w:themeColor="accent1" w:themeShade="BF"/>
    </w:rPr>
  </w:style>
  <w:style w:type="paragraph" w:styleId="a9">
    <w:name w:val="Intense Quote"/>
    <w:basedOn w:val="a"/>
    <w:next w:val="a"/>
    <w:link w:val="aa"/>
    <w:uiPriority w:val="30"/>
    <w:qFormat/>
    <w:rsid w:val="00CB76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B765F"/>
    <w:rPr>
      <w:rFonts w:ascii="Times New Roman" w:hAnsi="Times New Roman"/>
      <w:i/>
      <w:iCs/>
      <w:color w:val="2E74B5" w:themeColor="accent1" w:themeShade="BF"/>
      <w:sz w:val="28"/>
    </w:rPr>
  </w:style>
  <w:style w:type="character" w:styleId="ab">
    <w:name w:val="Intense Reference"/>
    <w:basedOn w:val="a0"/>
    <w:uiPriority w:val="32"/>
    <w:qFormat/>
    <w:rsid w:val="00CB765F"/>
    <w:rPr>
      <w:b/>
      <w:bCs/>
      <w:smallCaps/>
      <w:color w:val="2E74B5" w:themeColor="accent1" w:themeShade="BF"/>
      <w:spacing w:val="5"/>
    </w:rPr>
  </w:style>
  <w:style w:type="paragraph" w:customStyle="1" w:styleId="Body">
    <w:name w:val="Body"/>
    <w:basedOn w:val="a"/>
    <w:link w:val="BodyChar"/>
    <w:uiPriority w:val="1"/>
    <w:qFormat/>
    <w:rsid w:val="00CB765F"/>
    <w:pPr>
      <w:numPr>
        <w:numId w:val="1"/>
      </w:numPr>
      <w:spacing w:before="120" w:after="120" w:line="300" w:lineRule="exact"/>
      <w:jc w:val="both"/>
      <w:outlineLvl w:val="0"/>
    </w:pPr>
    <w:rPr>
      <w:rFonts w:ascii="Arial" w:hAnsi="Arial"/>
      <w:sz w:val="20"/>
      <w:lang w:val="en-US"/>
    </w:rPr>
  </w:style>
  <w:style w:type="paragraph" w:customStyle="1" w:styleId="Body1">
    <w:name w:val="Body 1"/>
    <w:basedOn w:val="a"/>
    <w:uiPriority w:val="1"/>
    <w:qFormat/>
    <w:rsid w:val="00CB765F"/>
    <w:pPr>
      <w:numPr>
        <w:ilvl w:val="1"/>
        <w:numId w:val="1"/>
      </w:numPr>
      <w:spacing w:before="120" w:after="120" w:line="300" w:lineRule="exact"/>
      <w:jc w:val="both"/>
      <w:outlineLvl w:val="1"/>
    </w:pPr>
    <w:rPr>
      <w:rFonts w:ascii="Arial" w:hAnsi="Arial" w:cs="Arial"/>
      <w:sz w:val="20"/>
    </w:rPr>
  </w:style>
  <w:style w:type="paragraph" w:customStyle="1" w:styleId="Body2">
    <w:name w:val="Body 2"/>
    <w:basedOn w:val="a"/>
    <w:uiPriority w:val="1"/>
    <w:qFormat/>
    <w:rsid w:val="00CB765F"/>
    <w:pPr>
      <w:numPr>
        <w:ilvl w:val="2"/>
        <w:numId w:val="1"/>
      </w:numPr>
      <w:spacing w:before="120" w:after="120" w:line="300" w:lineRule="exact"/>
      <w:jc w:val="both"/>
      <w:outlineLvl w:val="2"/>
    </w:pPr>
    <w:rPr>
      <w:rFonts w:ascii="Arial" w:hAnsi="Arial"/>
      <w:sz w:val="20"/>
      <w:lang w:val="en-US"/>
    </w:rPr>
  </w:style>
  <w:style w:type="paragraph" w:customStyle="1" w:styleId="Body3">
    <w:name w:val="Body 3"/>
    <w:basedOn w:val="a"/>
    <w:uiPriority w:val="1"/>
    <w:qFormat/>
    <w:rsid w:val="00CB765F"/>
    <w:pPr>
      <w:numPr>
        <w:ilvl w:val="3"/>
        <w:numId w:val="1"/>
      </w:numPr>
      <w:spacing w:before="120" w:after="120" w:line="300" w:lineRule="exact"/>
      <w:jc w:val="both"/>
      <w:outlineLvl w:val="3"/>
    </w:pPr>
    <w:rPr>
      <w:rFonts w:ascii="Arial" w:hAnsi="Arial"/>
      <w:sz w:val="20"/>
      <w:lang w:val="en-US"/>
    </w:rPr>
  </w:style>
  <w:style w:type="paragraph" w:customStyle="1" w:styleId="Body4">
    <w:name w:val="Body 4"/>
    <w:basedOn w:val="a"/>
    <w:uiPriority w:val="1"/>
    <w:qFormat/>
    <w:rsid w:val="00CB765F"/>
    <w:pPr>
      <w:numPr>
        <w:ilvl w:val="4"/>
        <w:numId w:val="1"/>
      </w:numPr>
      <w:spacing w:before="120" w:after="120" w:line="300" w:lineRule="exact"/>
      <w:jc w:val="both"/>
      <w:outlineLvl w:val="4"/>
    </w:pPr>
    <w:rPr>
      <w:rFonts w:ascii="Arial" w:hAnsi="Arial"/>
      <w:sz w:val="20"/>
      <w:lang w:val="en-US"/>
    </w:rPr>
  </w:style>
  <w:style w:type="paragraph" w:customStyle="1" w:styleId="Body5">
    <w:name w:val="Body 5"/>
    <w:basedOn w:val="a"/>
    <w:uiPriority w:val="1"/>
    <w:qFormat/>
    <w:rsid w:val="00CB765F"/>
    <w:pPr>
      <w:numPr>
        <w:ilvl w:val="5"/>
        <w:numId w:val="1"/>
      </w:numPr>
      <w:spacing w:before="120" w:after="120" w:line="300" w:lineRule="exact"/>
      <w:jc w:val="both"/>
      <w:outlineLvl w:val="5"/>
    </w:pPr>
    <w:rPr>
      <w:rFonts w:ascii="Arial" w:hAnsi="Arial"/>
      <w:sz w:val="20"/>
      <w:lang w:val="en-US"/>
    </w:rPr>
  </w:style>
  <w:style w:type="paragraph" w:customStyle="1" w:styleId="Body6">
    <w:name w:val="Body 6"/>
    <w:basedOn w:val="a"/>
    <w:uiPriority w:val="1"/>
    <w:qFormat/>
    <w:rsid w:val="00CB765F"/>
    <w:pPr>
      <w:numPr>
        <w:ilvl w:val="6"/>
        <w:numId w:val="1"/>
      </w:numPr>
      <w:spacing w:before="120" w:after="120" w:line="300" w:lineRule="exact"/>
      <w:jc w:val="both"/>
      <w:outlineLvl w:val="6"/>
    </w:pPr>
    <w:rPr>
      <w:rFonts w:ascii="Arial" w:hAnsi="Arial"/>
      <w:sz w:val="20"/>
      <w:lang w:val="en-US"/>
    </w:rPr>
  </w:style>
  <w:style w:type="paragraph" w:customStyle="1" w:styleId="Body7">
    <w:name w:val="Body 7"/>
    <w:basedOn w:val="a"/>
    <w:uiPriority w:val="1"/>
    <w:qFormat/>
    <w:rsid w:val="00CB765F"/>
    <w:pPr>
      <w:numPr>
        <w:ilvl w:val="7"/>
        <w:numId w:val="1"/>
      </w:numPr>
      <w:spacing w:before="120" w:after="120" w:line="300" w:lineRule="exact"/>
      <w:jc w:val="both"/>
      <w:outlineLvl w:val="7"/>
    </w:pPr>
    <w:rPr>
      <w:rFonts w:ascii="Arial" w:hAnsi="Arial"/>
      <w:sz w:val="20"/>
      <w:lang w:val="en-US"/>
    </w:rPr>
  </w:style>
  <w:style w:type="character" w:customStyle="1" w:styleId="BodyChar">
    <w:name w:val="Body Char"/>
    <w:basedOn w:val="a0"/>
    <w:link w:val="Body"/>
    <w:uiPriority w:val="1"/>
    <w:rsid w:val="00CB765F"/>
    <w:rPr>
      <w:rFonts w:ascii="Arial" w:hAnsi="Arial"/>
      <w:kern w:val="0"/>
      <w:sz w:val="20"/>
      <w:lang w:val="en-US"/>
      <w14:ligatures w14:val="none"/>
    </w:rPr>
  </w:style>
  <w:style w:type="table" w:styleId="ac">
    <w:name w:val="Table Grid"/>
    <w:basedOn w:val="a1"/>
    <w:uiPriority w:val="59"/>
    <w:rsid w:val="00CB765F"/>
    <w:pPr>
      <w:spacing w:after="0" w:line="240" w:lineRule="auto"/>
    </w:pPr>
    <w:rPr>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CB765F"/>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ae">
    <w:name w:val="Основной текст с отступом Знак"/>
    <w:basedOn w:val="a0"/>
    <w:link w:val="ad"/>
    <w:rsid w:val="00CB765F"/>
    <w:rPr>
      <w:rFonts w:ascii="Times New Roman" w:eastAsia="Times New Roman" w:hAnsi="Times New Roman" w:cs="Times New Roman"/>
      <w:kern w:val="0"/>
      <w:sz w:val="28"/>
      <w:szCs w:val="28"/>
      <w:lang w:val="uk-UA" w:eastAsia="ru-RU"/>
      <w14:ligatures w14:val="none"/>
    </w:rPr>
  </w:style>
  <w:style w:type="paragraph" w:customStyle="1" w:styleId="51">
    <w:name w:val="заголовок 5"/>
    <w:basedOn w:val="a"/>
    <w:next w:val="a"/>
    <w:rsid w:val="00CB765F"/>
    <w:pPr>
      <w:keepNext/>
      <w:widowControl w:val="0"/>
      <w:spacing w:after="120" w:line="240" w:lineRule="auto"/>
      <w:jc w:val="center"/>
    </w:pPr>
    <w:rPr>
      <w:rFonts w:ascii="Times New Roman" w:eastAsia="Times New Roman" w:hAnsi="Times New Roman" w:cs="Times New Roman"/>
      <w:b/>
      <w:sz w:val="4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 bbinvest</dc:creator>
  <cp:keywords/>
  <dc:description/>
  <cp:lastModifiedBy>fond bbinvest</cp:lastModifiedBy>
  <cp:revision>2</cp:revision>
  <dcterms:created xsi:type="dcterms:W3CDTF">2026-03-31T07:10:00Z</dcterms:created>
  <dcterms:modified xsi:type="dcterms:W3CDTF">2026-03-31T07:10:00Z</dcterms:modified>
</cp:coreProperties>
</file>